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AC8E0" w14:textId="0A0615DE" w:rsidR="00AD6E5B" w:rsidRDefault="00AD6E5B" w:rsidP="00AD6E5B">
      <w:pPr>
        <w:pStyle w:val="NoSpacing"/>
        <w:spacing w:before="120" w:after="120"/>
        <w:rPr>
          <w:rFonts w:ascii="Arial" w:eastAsia="SimSun" w:hAnsi="Arial" w:cs="Arial"/>
          <w:b/>
          <w:bCs/>
          <w:iCs/>
          <w:lang w:val="en-US"/>
        </w:rPr>
      </w:pPr>
      <w:bookmarkStart w:id="0" w:name="_Toc193024528"/>
      <w:r>
        <w:rPr>
          <w:rFonts w:ascii="Arial" w:hAnsi="Arial" w:cs="Arial"/>
          <w:b/>
          <w:bCs/>
          <w:lang w:val="en-US"/>
        </w:rPr>
        <w:t>3GPP TSG-RAN WG</w:t>
      </w:r>
      <w:r>
        <w:rPr>
          <w:rFonts w:ascii="Arial" w:eastAsia="SimSun" w:hAnsi="Arial" w:cs="Arial" w:hint="eastAsia"/>
          <w:b/>
          <w:bCs/>
          <w:lang w:val="en-US"/>
        </w:rPr>
        <w:t>3</w:t>
      </w:r>
      <w:r>
        <w:rPr>
          <w:rFonts w:ascii="Arial" w:hAnsi="Arial" w:cs="Arial"/>
          <w:b/>
          <w:bCs/>
          <w:lang w:val="en-US"/>
        </w:rPr>
        <w:t xml:space="preserve"> #1</w:t>
      </w:r>
      <w:r>
        <w:rPr>
          <w:rFonts w:ascii="Arial" w:eastAsia="SimSun" w:hAnsi="Arial" w:cs="Arial" w:hint="eastAsia"/>
          <w:b/>
          <w:bCs/>
          <w:lang w:val="en-US"/>
        </w:rPr>
        <w:t>27</w:t>
      </w:r>
      <w:r>
        <w:rPr>
          <w:rFonts w:ascii="Arial" w:eastAsia="SimSun" w:hAnsi="Arial" w:cs="Arial"/>
          <w:b/>
          <w:bCs/>
          <w:lang w:val="en-US"/>
        </w:rPr>
        <w:t>bis</w:t>
      </w:r>
      <w:r>
        <w:rPr>
          <w:rFonts w:ascii="Arial" w:hAnsi="Arial" w:cs="Arial"/>
          <w:b/>
          <w:bCs/>
          <w:lang w:val="en-US"/>
        </w:rPr>
        <w:tab/>
      </w:r>
      <w:r>
        <w:rPr>
          <w:rFonts w:ascii="Arial" w:eastAsia="SimSun" w:hAnsi="Arial" w:cs="Arial"/>
          <w:b/>
          <w:bCs/>
          <w:lang w:val="en-US"/>
        </w:rPr>
        <w:t xml:space="preserve">             </w:t>
      </w:r>
      <w:r>
        <w:rPr>
          <w:rFonts w:ascii="Arial" w:eastAsia="SimSun" w:hAnsi="Arial" w:cs="Arial"/>
          <w:b/>
          <w:bCs/>
          <w:lang w:val="en-US"/>
        </w:rPr>
        <w:tab/>
      </w:r>
      <w:r>
        <w:rPr>
          <w:rFonts w:ascii="Arial" w:eastAsia="SimSun" w:hAnsi="Arial" w:cs="Arial"/>
          <w:b/>
          <w:bCs/>
          <w:lang w:val="en-US"/>
        </w:rPr>
        <w:tab/>
        <w:t xml:space="preserve">                        </w:t>
      </w:r>
      <w:r>
        <w:rPr>
          <w:rFonts w:ascii="Arial" w:eastAsia="SimSun" w:hAnsi="Arial" w:cs="Arial" w:hint="eastAsia"/>
          <w:b/>
          <w:bCs/>
          <w:lang w:val="en-US"/>
        </w:rPr>
        <w:t xml:space="preserve">   </w:t>
      </w:r>
      <w:hyperlink r:id="rId9" w:history="1">
        <w:r>
          <w:rPr>
            <w:rFonts w:ascii="Arial" w:eastAsia="SimSun" w:hAnsi="Arial" w:cs="Arial" w:hint="eastAsia"/>
            <w:b/>
            <w:bCs/>
            <w:lang w:val="en-US"/>
          </w:rPr>
          <w:t>R3-25</w:t>
        </w:r>
        <w:r w:rsidR="00AB251E">
          <w:rPr>
            <w:rFonts w:ascii="Arial" w:eastAsia="SimSun" w:hAnsi="Arial" w:cs="Arial"/>
            <w:b/>
            <w:bCs/>
            <w:lang w:val="en-US"/>
          </w:rPr>
          <w:t>2104</w:t>
        </w:r>
      </w:hyperlink>
      <w:bookmarkStart w:id="1" w:name="_GoBack"/>
      <w:bookmarkEnd w:id="1"/>
    </w:p>
    <w:p w14:paraId="4158E189" w14:textId="77777777" w:rsidR="00AD6E5B" w:rsidRDefault="00AD6E5B" w:rsidP="00AD6E5B">
      <w:pPr>
        <w:pStyle w:val="Header"/>
        <w:tabs>
          <w:tab w:val="left" w:pos="1701"/>
          <w:tab w:val="right" w:pos="9923"/>
        </w:tabs>
        <w:rPr>
          <w:rFonts w:eastAsia="SimSun" w:cs="Arial"/>
          <w:bCs/>
          <w:color w:val="000000"/>
          <w:sz w:val="24"/>
          <w:szCs w:val="24"/>
          <w:lang w:val="en-US" w:eastAsia="zh-CN"/>
        </w:rPr>
      </w:pPr>
      <w:r>
        <w:rPr>
          <w:sz w:val="24"/>
        </w:rPr>
        <w:t>Wuhan</w:t>
      </w:r>
      <w:r w:rsidRPr="007C3182">
        <w:rPr>
          <w:sz w:val="24"/>
        </w:rPr>
        <w:t>, China</w:t>
      </w:r>
      <w:r>
        <w:rPr>
          <w:sz w:val="24"/>
        </w:rPr>
        <w:t>, 7</w:t>
      </w:r>
      <w:r w:rsidRPr="009B07AF">
        <w:rPr>
          <w:sz w:val="24"/>
          <w:vertAlign w:val="superscript"/>
        </w:rPr>
        <w:t>th</w:t>
      </w:r>
      <w:r>
        <w:rPr>
          <w:sz w:val="24"/>
        </w:rPr>
        <w:t xml:space="preserve"> – 11</w:t>
      </w:r>
      <w:r w:rsidRPr="009B07AF">
        <w:rPr>
          <w:sz w:val="24"/>
          <w:vertAlign w:val="superscript"/>
        </w:rPr>
        <w:t>th</w:t>
      </w:r>
      <w:r>
        <w:rPr>
          <w:sz w:val="24"/>
        </w:rPr>
        <w:t xml:space="preserve"> April 2025</w:t>
      </w:r>
    </w:p>
    <w:bookmarkEnd w:id="0"/>
    <w:p w14:paraId="09D12C67" w14:textId="77777777" w:rsidR="00DC4196" w:rsidRPr="00A36CD6" w:rsidRDefault="00DC4196" w:rsidP="00DC4196">
      <w:pPr>
        <w:pStyle w:val="3GPPHeader"/>
      </w:pPr>
    </w:p>
    <w:p w14:paraId="38A1178D" w14:textId="6357824A" w:rsidR="00DC4196" w:rsidRDefault="00DC4196" w:rsidP="00DC4196">
      <w:pPr>
        <w:pStyle w:val="3GPPHeader"/>
      </w:pPr>
      <w:r>
        <w:t>Agenda Item:</w:t>
      </w:r>
      <w:r>
        <w:tab/>
      </w:r>
      <w:r w:rsidR="00C712FD">
        <w:t>1</w:t>
      </w:r>
      <w:r w:rsidR="0004747F">
        <w:t>4</w:t>
      </w:r>
      <w:r w:rsidR="00C712FD">
        <w:t>.2</w:t>
      </w:r>
    </w:p>
    <w:p w14:paraId="1711558A" w14:textId="77777777" w:rsidR="00DC4196" w:rsidRDefault="00DC4196" w:rsidP="00DC4196">
      <w:pPr>
        <w:pStyle w:val="3GPPHeader"/>
      </w:pPr>
      <w:r>
        <w:t>Source:</w:t>
      </w:r>
      <w:r>
        <w:tab/>
      </w:r>
      <w:r w:rsidR="00661DC3">
        <w:t>Jio Platforms Ltd (JPL)</w:t>
      </w:r>
    </w:p>
    <w:p w14:paraId="0F0B5665" w14:textId="383E5304" w:rsidR="00DC4196" w:rsidRPr="00D44844" w:rsidRDefault="00DC4196" w:rsidP="00661DC3">
      <w:pPr>
        <w:pStyle w:val="3GPPHeader"/>
        <w:ind w:left="720" w:hanging="720"/>
        <w:rPr>
          <w:lang w:val="it-IT"/>
        </w:rPr>
      </w:pPr>
      <w:r w:rsidRPr="00D44844">
        <w:rPr>
          <w:lang w:val="it-IT"/>
        </w:rPr>
        <w:t>Title:</w:t>
      </w:r>
      <w:r w:rsidRPr="00D44844">
        <w:rPr>
          <w:lang w:val="it-IT"/>
        </w:rPr>
        <w:tab/>
      </w:r>
      <w:r w:rsidR="00B075A6">
        <w:rPr>
          <w:lang w:val="it-IT"/>
        </w:rPr>
        <w:tab/>
      </w:r>
      <w:r w:rsidR="00B075A6" w:rsidRPr="00B075A6">
        <w:rPr>
          <w:lang w:val="it-IT"/>
        </w:rPr>
        <w:t>Signaling of Intended MBS Broadcast Service Area via NR NTN</w:t>
      </w:r>
    </w:p>
    <w:p w14:paraId="40FE0A34" w14:textId="77777777" w:rsidR="004F1A79" w:rsidRDefault="00DC4196" w:rsidP="00DC4196">
      <w:pPr>
        <w:pStyle w:val="3GPPHeader"/>
      </w:pPr>
      <w:r>
        <w:t>Document for:</w:t>
      </w:r>
      <w:r>
        <w:tab/>
      </w:r>
      <w:r w:rsidR="00661DC3">
        <w:t>Discussion</w:t>
      </w:r>
    </w:p>
    <w:p w14:paraId="6CDA387E" w14:textId="77777777" w:rsidR="00E250A8" w:rsidRDefault="00661DC3" w:rsidP="00E250A8">
      <w:pPr>
        <w:pStyle w:val="Heading1"/>
      </w:pPr>
      <w:r>
        <w:t>Introduction</w:t>
      </w:r>
    </w:p>
    <w:p w14:paraId="1B302EBB" w14:textId="2B78C24A" w:rsidR="00661DC3" w:rsidRPr="00661DC3" w:rsidRDefault="0004747F" w:rsidP="0004747F">
      <w:pPr>
        <w:rPr>
          <w:sz w:val="20"/>
        </w:rPr>
      </w:pPr>
      <w:r w:rsidRPr="0004747F">
        <w:rPr>
          <w:sz w:val="20"/>
        </w:rPr>
        <w:t xml:space="preserve">The NR Non-Terrestrial Network (NTN) Phase-3 Core work item (RP-243300) includes an objective to enable signaling of the intended service area for a 5G Multicast/Broadcast Service (MBS) delivered via NR NTN​. In other words, when a broadcast service (e.g. a video stream or public warning) is transmitted over an NTN (satellite) network, the network should inform devices about the geographic area that the broadcast is meant to cover. This is especially important in NTN scenarios because satellite beams often cover very large regions (potentially multiple countries or tracking areas), and a given MBS content might only be relevant or authorized in a subset of that coverage. Without explicit service area signaling, UEs might either waste effort receiving irrelevant broadcasts or lack clarity on whether they are within the target region for a service. In current 5G specifications, an MBS service area is defined as “the area within which data of one multicast or broadcast MBS session may be </w:t>
      </w:r>
      <w:proofErr w:type="gramStart"/>
      <w:r w:rsidRPr="0004747F">
        <w:rPr>
          <w:sz w:val="20"/>
        </w:rPr>
        <w:t>sent”​</w:t>
      </w:r>
      <w:proofErr w:type="gramEnd"/>
      <w:r w:rsidRPr="0004747F">
        <w:rPr>
          <w:sz w:val="20"/>
        </w:rPr>
        <w:t xml:space="preserve">. For location-dependent MBS (i.e. services intended only for certain locations), the 5G core can identify the service area by a set of cells or tracking areas​. However, the RAN-level signaling to UEs about these areas is not yet fully specified for NR NTN. In LTE </w:t>
      </w:r>
      <w:proofErr w:type="spellStart"/>
      <w:r w:rsidRPr="0004747F">
        <w:rPr>
          <w:sz w:val="20"/>
        </w:rPr>
        <w:t>eMBMS</w:t>
      </w:r>
      <w:proofErr w:type="spellEnd"/>
      <w:r w:rsidRPr="0004747F">
        <w:rPr>
          <w:sz w:val="20"/>
        </w:rPr>
        <w:t>, a fixed Service Area Identifier (SAI) was used to map broadcast services to regions, and NR Release-17 introduced the concept of an MBS Frequency Selection Area Identity (FSAI) (broadcast in SIB21) to help UEs discover MBS frequencies for a region​. These identifiers, while useful for continuity, do not explicitly convey the geographic shape or list of the service area to the UE.</w:t>
      </w:r>
    </w:p>
    <w:p w14:paraId="6E1AF4B4" w14:textId="77777777" w:rsidR="0004747F" w:rsidRPr="0004747F" w:rsidRDefault="0004747F" w:rsidP="0004747F">
      <w:pPr>
        <w:pBdr>
          <w:top w:val="single" w:sz="4" w:space="1" w:color="auto"/>
          <w:left w:val="single" w:sz="4" w:space="4" w:color="auto"/>
          <w:bottom w:val="single" w:sz="4" w:space="1" w:color="auto"/>
          <w:right w:val="single" w:sz="4" w:space="4" w:color="auto"/>
        </w:pBdr>
        <w:rPr>
          <w:rFonts w:cs="Calibri"/>
          <w:i/>
          <w:color w:val="FF0000"/>
          <w:sz w:val="16"/>
          <w:szCs w:val="16"/>
          <w:lang w:eastAsia="en-US"/>
        </w:rPr>
      </w:pPr>
      <w:r w:rsidRPr="0004747F">
        <w:rPr>
          <w:rFonts w:cs="Calibri"/>
          <w:i/>
          <w:color w:val="FF0000"/>
          <w:sz w:val="16"/>
          <w:szCs w:val="16"/>
          <w:lang w:eastAsia="en-US"/>
        </w:rPr>
        <w:t>14.2. Support MBS broadcast service</w:t>
      </w:r>
    </w:p>
    <w:p w14:paraId="1B2A9E1F" w14:textId="77777777" w:rsidR="0004747F" w:rsidRPr="0004747F" w:rsidRDefault="0004747F" w:rsidP="0004747F">
      <w:pPr>
        <w:pBdr>
          <w:top w:val="single" w:sz="4" w:space="1" w:color="auto"/>
          <w:left w:val="single" w:sz="4" w:space="4" w:color="auto"/>
          <w:bottom w:val="single" w:sz="4" w:space="1" w:color="auto"/>
          <w:right w:val="single" w:sz="4" w:space="4" w:color="auto"/>
        </w:pBdr>
        <w:rPr>
          <w:rFonts w:cs="Calibri"/>
          <w:i/>
          <w:color w:val="FF0000"/>
          <w:sz w:val="16"/>
          <w:szCs w:val="16"/>
          <w:lang w:eastAsia="en-US"/>
        </w:rPr>
      </w:pPr>
      <w:r w:rsidRPr="0004747F">
        <w:rPr>
          <w:rFonts w:cs="Calibri"/>
          <w:i/>
          <w:color w:val="FF0000"/>
          <w:sz w:val="16"/>
          <w:szCs w:val="16"/>
          <w:lang w:eastAsia="en-US"/>
        </w:rPr>
        <w:t>Specify signaling of the intended service area of a broadcast service (e.g. MBS broadcast) via NR NTN [RAN2, RAN3]</w:t>
      </w:r>
    </w:p>
    <w:p w14:paraId="4D00C122" w14:textId="77777777" w:rsidR="0004747F" w:rsidRPr="0004747F" w:rsidRDefault="0004747F" w:rsidP="0004747F">
      <w:pPr>
        <w:pBdr>
          <w:top w:val="single" w:sz="4" w:space="1" w:color="auto"/>
          <w:left w:val="single" w:sz="4" w:space="4" w:color="auto"/>
          <w:bottom w:val="single" w:sz="4" w:space="1" w:color="auto"/>
          <w:right w:val="single" w:sz="4" w:space="4" w:color="auto"/>
        </w:pBdr>
        <w:rPr>
          <w:rFonts w:cs="Calibri"/>
          <w:i/>
          <w:color w:val="FF0000"/>
          <w:sz w:val="16"/>
          <w:szCs w:val="16"/>
          <w:lang w:eastAsia="en-US"/>
        </w:rPr>
      </w:pPr>
      <w:r w:rsidRPr="0004747F">
        <w:rPr>
          <w:rFonts w:cs="Calibri"/>
          <w:i/>
          <w:color w:val="FF0000"/>
          <w:sz w:val="16"/>
          <w:szCs w:val="16"/>
          <w:lang w:eastAsia="en-US"/>
        </w:rPr>
        <w:t>Specify SIB signaling to indicate the intended service area in case the satellite footprint covers a larger area. [RAN2]</w:t>
      </w:r>
    </w:p>
    <w:p w14:paraId="30FE2632" w14:textId="77777777" w:rsidR="0004747F" w:rsidRPr="0004747F" w:rsidRDefault="0004747F" w:rsidP="0004747F">
      <w:pPr>
        <w:pBdr>
          <w:top w:val="single" w:sz="4" w:space="1" w:color="auto"/>
          <w:left w:val="single" w:sz="4" w:space="4" w:color="auto"/>
          <w:bottom w:val="single" w:sz="4" w:space="1" w:color="auto"/>
          <w:right w:val="single" w:sz="4" w:space="4" w:color="auto"/>
        </w:pBdr>
        <w:rPr>
          <w:rFonts w:cs="Calibri"/>
          <w:i/>
          <w:color w:val="FF0000"/>
          <w:sz w:val="16"/>
          <w:szCs w:val="16"/>
          <w:lang w:eastAsia="en-US"/>
        </w:rPr>
      </w:pPr>
      <w:r w:rsidRPr="0004747F">
        <w:rPr>
          <w:rFonts w:cs="Calibri"/>
          <w:i/>
          <w:color w:val="FF0000"/>
          <w:sz w:val="16"/>
          <w:szCs w:val="16"/>
          <w:lang w:eastAsia="en-US"/>
        </w:rPr>
        <w:t>Specify the necessary signaling between CN and NG-RAN. [RAN3]</w:t>
      </w:r>
    </w:p>
    <w:p w14:paraId="210C14C6" w14:textId="77777777" w:rsidR="0004747F" w:rsidRPr="0004747F" w:rsidRDefault="0004747F" w:rsidP="0004747F">
      <w:pPr>
        <w:pBdr>
          <w:top w:val="single" w:sz="4" w:space="1" w:color="auto"/>
          <w:left w:val="single" w:sz="4" w:space="4" w:color="auto"/>
          <w:bottom w:val="single" w:sz="4" w:space="1" w:color="auto"/>
          <w:right w:val="single" w:sz="4" w:space="4" w:color="auto"/>
        </w:pBdr>
        <w:rPr>
          <w:rFonts w:cs="Calibri"/>
          <w:i/>
          <w:color w:val="FF0000"/>
          <w:sz w:val="16"/>
          <w:szCs w:val="16"/>
          <w:lang w:eastAsia="en-US"/>
        </w:rPr>
      </w:pPr>
      <w:r w:rsidRPr="0004747F">
        <w:rPr>
          <w:rFonts w:cs="Calibri"/>
          <w:i/>
          <w:color w:val="FF0000"/>
          <w:sz w:val="16"/>
          <w:szCs w:val="16"/>
          <w:lang w:eastAsia="en-US"/>
        </w:rPr>
        <w:t xml:space="preserve">RAN3 starts work on MBS broadcast service. </w:t>
      </w:r>
    </w:p>
    <w:p w14:paraId="6785A3C7" w14:textId="77777777" w:rsidR="0004747F" w:rsidRPr="0004747F" w:rsidRDefault="0004747F" w:rsidP="0004747F">
      <w:pPr>
        <w:pBdr>
          <w:top w:val="single" w:sz="4" w:space="1" w:color="auto"/>
          <w:left w:val="single" w:sz="4" w:space="4" w:color="auto"/>
          <w:bottom w:val="single" w:sz="4" w:space="1" w:color="auto"/>
          <w:right w:val="single" w:sz="4" w:space="4" w:color="auto"/>
        </w:pBdr>
        <w:rPr>
          <w:rFonts w:cs="Calibri"/>
          <w:i/>
          <w:color w:val="FF0000"/>
          <w:sz w:val="16"/>
          <w:szCs w:val="16"/>
          <w:lang w:eastAsia="en-US"/>
        </w:rPr>
      </w:pPr>
      <w:r w:rsidRPr="0004747F">
        <w:rPr>
          <w:rFonts w:cs="Calibri"/>
          <w:i/>
          <w:color w:val="FF0000"/>
          <w:sz w:val="16"/>
          <w:szCs w:val="16"/>
          <w:lang w:eastAsia="en-US"/>
        </w:rPr>
        <w:t>Mapped Cell ID(s) could be used to describe the intended MBS service area for NTN.</w:t>
      </w:r>
    </w:p>
    <w:p w14:paraId="0CE8FDCF" w14:textId="77777777" w:rsidR="0004747F" w:rsidRPr="0004747F" w:rsidRDefault="0004747F" w:rsidP="0004747F">
      <w:pPr>
        <w:pBdr>
          <w:top w:val="single" w:sz="4" w:space="1" w:color="auto"/>
          <w:left w:val="single" w:sz="4" w:space="4" w:color="auto"/>
          <w:bottom w:val="single" w:sz="4" w:space="1" w:color="auto"/>
          <w:right w:val="single" w:sz="4" w:space="4" w:color="auto"/>
        </w:pBdr>
        <w:rPr>
          <w:rFonts w:cs="Calibri"/>
          <w:i/>
          <w:color w:val="FF0000"/>
          <w:sz w:val="16"/>
          <w:szCs w:val="16"/>
          <w:lang w:eastAsia="en-US"/>
        </w:rPr>
      </w:pPr>
      <w:r w:rsidRPr="0004747F">
        <w:rPr>
          <w:rFonts w:cs="Calibri"/>
          <w:i/>
          <w:color w:val="FF0000"/>
          <w:sz w:val="16"/>
          <w:szCs w:val="16"/>
          <w:lang w:eastAsia="en-US"/>
        </w:rPr>
        <w:t xml:space="preserve">RAN3 takes the assumption that geographical service area information can be transmitted from CN with the same format as defined in </w:t>
      </w:r>
      <w:proofErr w:type="spellStart"/>
      <w:r w:rsidRPr="0004747F">
        <w:rPr>
          <w:rFonts w:cs="Calibri"/>
          <w:i/>
          <w:color w:val="FF0000"/>
          <w:sz w:val="16"/>
          <w:szCs w:val="16"/>
          <w:lang w:eastAsia="en-US"/>
        </w:rPr>
        <w:t>Uu</w:t>
      </w:r>
      <w:proofErr w:type="spellEnd"/>
      <w:r w:rsidRPr="0004747F">
        <w:rPr>
          <w:rFonts w:cs="Calibri"/>
          <w:i/>
          <w:color w:val="FF0000"/>
          <w:sz w:val="16"/>
          <w:szCs w:val="16"/>
          <w:lang w:eastAsia="en-US"/>
        </w:rPr>
        <w:t>.</w:t>
      </w:r>
    </w:p>
    <w:p w14:paraId="615DB2FB" w14:textId="77777777" w:rsidR="0004747F" w:rsidRPr="0004747F" w:rsidRDefault="0004747F" w:rsidP="0004747F">
      <w:pPr>
        <w:pBdr>
          <w:top w:val="single" w:sz="4" w:space="1" w:color="auto"/>
          <w:left w:val="single" w:sz="4" w:space="4" w:color="auto"/>
          <w:bottom w:val="single" w:sz="4" w:space="1" w:color="auto"/>
          <w:right w:val="single" w:sz="4" w:space="4" w:color="auto"/>
        </w:pBdr>
        <w:rPr>
          <w:rFonts w:cs="Calibri"/>
          <w:i/>
          <w:color w:val="FF0000"/>
          <w:sz w:val="16"/>
          <w:szCs w:val="16"/>
          <w:lang w:eastAsia="en-US"/>
        </w:rPr>
      </w:pPr>
      <w:r w:rsidRPr="0004747F">
        <w:rPr>
          <w:rFonts w:cs="Calibri"/>
          <w:i/>
          <w:color w:val="FF0000"/>
          <w:sz w:val="16"/>
          <w:szCs w:val="16"/>
          <w:lang w:eastAsia="en-US"/>
        </w:rPr>
        <w:t>The current MBS broadcast procedures can be reused for NR NTN without any enhancement.</w:t>
      </w:r>
    </w:p>
    <w:p w14:paraId="62A83DA5" w14:textId="77777777" w:rsidR="0004747F" w:rsidRPr="0004747F" w:rsidRDefault="0004747F" w:rsidP="0004747F">
      <w:pPr>
        <w:pBdr>
          <w:top w:val="single" w:sz="4" w:space="1" w:color="auto"/>
          <w:left w:val="single" w:sz="4" w:space="4" w:color="auto"/>
          <w:bottom w:val="single" w:sz="4" w:space="1" w:color="auto"/>
          <w:right w:val="single" w:sz="4" w:space="4" w:color="auto"/>
        </w:pBdr>
        <w:rPr>
          <w:rFonts w:cs="Calibri"/>
          <w:i/>
          <w:color w:val="FF0000"/>
          <w:sz w:val="16"/>
          <w:szCs w:val="16"/>
          <w:lang w:eastAsia="en-US"/>
        </w:rPr>
      </w:pPr>
      <w:r w:rsidRPr="0004747F">
        <w:rPr>
          <w:rFonts w:cs="Calibri"/>
          <w:i/>
          <w:color w:val="FF0000"/>
          <w:sz w:val="16"/>
          <w:szCs w:val="16"/>
          <w:lang w:eastAsia="en-US"/>
        </w:rPr>
        <w:t>RAN3#127:</w:t>
      </w:r>
    </w:p>
    <w:p w14:paraId="6B51C372" w14:textId="77777777" w:rsidR="0004747F" w:rsidRPr="0004747F" w:rsidRDefault="0004747F" w:rsidP="0004747F">
      <w:pPr>
        <w:pBdr>
          <w:top w:val="single" w:sz="4" w:space="1" w:color="auto"/>
          <w:left w:val="single" w:sz="4" w:space="4" w:color="auto"/>
          <w:bottom w:val="single" w:sz="4" w:space="1" w:color="auto"/>
          <w:right w:val="single" w:sz="4" w:space="4" w:color="auto"/>
        </w:pBdr>
        <w:rPr>
          <w:rFonts w:cs="Calibri"/>
          <w:i/>
          <w:color w:val="FF0000"/>
          <w:sz w:val="16"/>
          <w:szCs w:val="16"/>
          <w:lang w:eastAsia="en-US"/>
        </w:rPr>
      </w:pPr>
      <w:r w:rsidRPr="0004747F">
        <w:rPr>
          <w:rFonts w:cs="Calibri"/>
          <w:i/>
          <w:color w:val="FF0000"/>
          <w:sz w:val="16"/>
          <w:szCs w:val="16"/>
          <w:lang w:eastAsia="en-US"/>
        </w:rPr>
        <w:t>Encode the Intended MBS service area as OCT STRING which refers to RAN2 spec.</w:t>
      </w:r>
    </w:p>
    <w:p w14:paraId="19CDDE24" w14:textId="1A352FB7" w:rsidR="00661DC3" w:rsidRPr="0004747F" w:rsidRDefault="0004747F" w:rsidP="00661DC3">
      <w:pPr>
        <w:pBdr>
          <w:top w:val="single" w:sz="4" w:space="1" w:color="auto"/>
          <w:left w:val="single" w:sz="4" w:space="4" w:color="auto"/>
          <w:bottom w:val="single" w:sz="4" w:space="1" w:color="auto"/>
          <w:right w:val="single" w:sz="4" w:space="4" w:color="auto"/>
        </w:pBdr>
        <w:rPr>
          <w:rFonts w:cs="Calibri"/>
          <w:i/>
          <w:color w:val="FF0000"/>
          <w:sz w:val="16"/>
          <w:szCs w:val="16"/>
          <w:lang w:eastAsia="en-US"/>
        </w:rPr>
      </w:pPr>
      <w:r w:rsidRPr="0004747F">
        <w:rPr>
          <w:rFonts w:cs="Calibri"/>
          <w:i/>
          <w:color w:val="FF0000"/>
          <w:sz w:val="16"/>
          <w:szCs w:val="16"/>
          <w:lang w:eastAsia="en-US"/>
        </w:rPr>
        <w:t>Work on the stage2/3 details....</w:t>
      </w:r>
    </w:p>
    <w:p w14:paraId="09CFBA96" w14:textId="77777777" w:rsidR="00661DC3" w:rsidRDefault="00661DC3" w:rsidP="00661DC3"/>
    <w:p w14:paraId="0135C61E" w14:textId="314A48D7" w:rsidR="00E250A8" w:rsidRDefault="0004747F" w:rsidP="00E250A8">
      <w:pPr>
        <w:pStyle w:val="Heading1"/>
      </w:pPr>
      <w:r>
        <w:t>Background</w:t>
      </w:r>
    </w:p>
    <w:p w14:paraId="06FE142A" w14:textId="22A1B507" w:rsidR="00661DC3" w:rsidRDefault="0004747F" w:rsidP="00661DC3">
      <w:pPr>
        <w:pStyle w:val="Heading2"/>
        <w:rPr>
          <w:lang w:val="en-GB" w:eastAsia="zh-CN"/>
        </w:rPr>
      </w:pPr>
      <w:r w:rsidRPr="0004747F">
        <w:rPr>
          <w:lang w:val="en-GB" w:eastAsia="zh-CN"/>
        </w:rPr>
        <w:t>MBS Service Areas in 5G and NTN Context</w:t>
      </w:r>
    </w:p>
    <w:p w14:paraId="24619452" w14:textId="549A69BC" w:rsidR="0004747F" w:rsidRPr="00B075A6" w:rsidRDefault="0004747F" w:rsidP="0004747F">
      <w:pPr>
        <w:spacing w:before="100" w:beforeAutospacing="1" w:after="100" w:afterAutospacing="1"/>
        <w:rPr>
          <w:sz w:val="20"/>
        </w:rPr>
      </w:pPr>
      <w:r w:rsidRPr="00B075A6">
        <w:rPr>
          <w:b/>
          <w:bCs/>
          <w:sz w:val="20"/>
        </w:rPr>
        <w:t>5G MBS Architecture:</w:t>
      </w:r>
      <w:r w:rsidRPr="00B075A6">
        <w:rPr>
          <w:sz w:val="20"/>
        </w:rPr>
        <w:t xml:space="preserve"> In the 5G system (Release-17 onwards), multicast/broadcast services are integrated with existing core network functions. An MBS Session can be broadcast-type (available to all UEs in </w:t>
      </w:r>
      <w:proofErr w:type="spellStart"/>
      <w:r w:rsidRPr="00B075A6">
        <w:rPr>
          <w:sz w:val="20"/>
        </w:rPr>
        <w:t>a</w:t>
      </w:r>
      <w:proofErr w:type="spellEnd"/>
      <w:r w:rsidRPr="00B075A6">
        <w:rPr>
          <w:sz w:val="20"/>
        </w:rPr>
        <w:t xml:space="preserve"> area) or multicast-type (delivered only to UEs that </w:t>
      </w:r>
      <w:proofErr w:type="gramStart"/>
      <w:r w:rsidRPr="00B075A6">
        <w:rPr>
          <w:sz w:val="20"/>
        </w:rPr>
        <w:t>joined)​</w:t>
      </w:r>
      <w:proofErr w:type="gramEnd"/>
      <w:r w:rsidRPr="00B075A6">
        <w:rPr>
          <w:sz w:val="20"/>
        </w:rPr>
        <w:t>. For broadcast MBS, a user’s ability to receive the service depends solely on being in the broadcast’s coverage area and having subscription/authorization​. The 5G core (MB-</w:t>
      </w:r>
      <w:r w:rsidRPr="00B075A6">
        <w:rPr>
          <w:sz w:val="20"/>
        </w:rPr>
        <w:lastRenderedPageBreak/>
        <w:t>SMF, MB-UPF, etc.) is responsible for delivering the content to all base stations in the service area, and the NG-RAN broadcasts it over the air.</w:t>
      </w:r>
    </w:p>
    <w:p w14:paraId="698A19F2" w14:textId="1B43B4F5" w:rsidR="0004747F" w:rsidRPr="00B075A6" w:rsidRDefault="0004747F" w:rsidP="0004747F">
      <w:pPr>
        <w:spacing w:before="100" w:beforeAutospacing="1" w:after="100" w:afterAutospacing="1"/>
        <w:rPr>
          <w:sz w:val="20"/>
        </w:rPr>
      </w:pPr>
      <w:r w:rsidRPr="00B075A6">
        <w:rPr>
          <w:b/>
          <w:bCs/>
          <w:sz w:val="20"/>
        </w:rPr>
        <w:t>Service Area Definition:</w:t>
      </w:r>
      <w:r w:rsidRPr="00B075A6">
        <w:rPr>
          <w:sz w:val="20"/>
        </w:rPr>
        <w:t xml:space="preserve"> A </w:t>
      </w:r>
      <w:r w:rsidRPr="00B075A6">
        <w:rPr>
          <w:i/>
          <w:iCs/>
          <w:sz w:val="20"/>
        </w:rPr>
        <w:t>location-dependent</w:t>
      </w:r>
      <w:r w:rsidRPr="00B075A6">
        <w:rPr>
          <w:sz w:val="20"/>
        </w:rPr>
        <w:t xml:space="preserve"> MBS service may be restricted to one or several </w:t>
      </w:r>
      <w:r w:rsidRPr="00B075A6">
        <w:rPr>
          <w:b/>
          <w:bCs/>
          <w:sz w:val="20"/>
        </w:rPr>
        <w:t>MBS service areas</w:t>
      </w:r>
      <w:r w:rsidRPr="00B075A6">
        <w:rPr>
          <w:sz w:val="20"/>
        </w:rPr>
        <w:t>, rather than the entire network​. According to 3GPP Stage-2, an MBS service area can be described in different ways:</w:t>
      </w:r>
    </w:p>
    <w:p w14:paraId="48823BE3" w14:textId="6FCE26DB" w:rsidR="0004747F" w:rsidRPr="00B075A6" w:rsidRDefault="0004747F" w:rsidP="0004747F">
      <w:pPr>
        <w:numPr>
          <w:ilvl w:val="0"/>
          <w:numId w:val="34"/>
        </w:numPr>
        <w:spacing w:before="100" w:beforeAutospacing="1" w:after="100" w:afterAutospacing="1"/>
        <w:rPr>
          <w:sz w:val="20"/>
        </w:rPr>
      </w:pPr>
      <w:r w:rsidRPr="00B075A6">
        <w:rPr>
          <w:b/>
          <w:bCs/>
          <w:sz w:val="20"/>
        </w:rPr>
        <w:t>Geographical description:</w:t>
      </w:r>
      <w:r w:rsidRPr="00B075A6">
        <w:rPr>
          <w:sz w:val="20"/>
        </w:rPr>
        <w:t xml:space="preserve"> e.g. a set of coordinates delimiting a region (possibly provided by an AF in terms of latitude/longitude or civic address). The network (NEF/MBSF) can translate this into actual cells or areas​</w:t>
      </w:r>
    </w:p>
    <w:p w14:paraId="2A6B414C" w14:textId="78B8090B" w:rsidR="0004747F" w:rsidRPr="00B075A6" w:rsidRDefault="0004747F" w:rsidP="00CF6CED">
      <w:pPr>
        <w:numPr>
          <w:ilvl w:val="0"/>
          <w:numId w:val="34"/>
        </w:numPr>
        <w:spacing w:before="100" w:beforeAutospacing="1" w:after="100" w:afterAutospacing="1"/>
        <w:rPr>
          <w:sz w:val="20"/>
        </w:rPr>
      </w:pPr>
      <w:r w:rsidRPr="00B075A6">
        <w:rPr>
          <w:b/>
          <w:bCs/>
          <w:sz w:val="20"/>
        </w:rPr>
        <w:t>Network area list:</w:t>
      </w:r>
      <w:r w:rsidRPr="00B075A6">
        <w:rPr>
          <w:sz w:val="20"/>
        </w:rPr>
        <w:t xml:space="preserve"> e.g. an explicit list of cell IDs or a list of Tracking Area Identifiers (TAIs) that correspond to the coverage. In current specifications, </w:t>
      </w:r>
      <w:r w:rsidRPr="00B075A6">
        <w:rPr>
          <w:i/>
          <w:iCs/>
          <w:sz w:val="20"/>
        </w:rPr>
        <w:t xml:space="preserve">“an MBS service area is identified by a cell list or a tracking area </w:t>
      </w:r>
      <w:proofErr w:type="gramStart"/>
      <w:r w:rsidRPr="00B075A6">
        <w:rPr>
          <w:i/>
          <w:iCs/>
          <w:sz w:val="20"/>
        </w:rPr>
        <w:t>list”</w:t>
      </w:r>
      <w:r w:rsidRPr="00B075A6">
        <w:rPr>
          <w:sz w:val="20"/>
        </w:rPr>
        <w:t>​</w:t>
      </w:r>
      <w:proofErr w:type="gramEnd"/>
      <w:r w:rsidRPr="00B075A6">
        <w:rPr>
          <w:sz w:val="20"/>
        </w:rPr>
        <w:t>. This effectively ties the service to existing coverage areas known in the RAN.</w:t>
      </w:r>
    </w:p>
    <w:p w14:paraId="100617C7" w14:textId="0EFF010B" w:rsidR="0004747F" w:rsidRPr="00B075A6" w:rsidRDefault="0004747F" w:rsidP="0004747F">
      <w:pPr>
        <w:spacing w:before="100" w:beforeAutospacing="1" w:after="100" w:afterAutospacing="1"/>
        <w:rPr>
          <w:sz w:val="20"/>
        </w:rPr>
      </w:pPr>
      <w:r w:rsidRPr="00B075A6">
        <w:rPr>
          <w:sz w:val="20"/>
        </w:rPr>
        <w:t xml:space="preserve">In LTE </w:t>
      </w:r>
      <w:proofErr w:type="spellStart"/>
      <w:r w:rsidRPr="00B075A6">
        <w:rPr>
          <w:sz w:val="20"/>
        </w:rPr>
        <w:t>eMBMS</w:t>
      </w:r>
      <w:proofErr w:type="spellEnd"/>
      <w:r w:rsidRPr="00B075A6">
        <w:rPr>
          <w:sz w:val="20"/>
        </w:rPr>
        <w:t xml:space="preserve">, a Service Area was identified by a numeric SAI (Service Area ID) which mapped to a group of cells; each cell broadcasted the SAIs it belonged to in system information, and UEs would receive the broadcast only if the SAI matched​. For NR, Release-17 introduced the concept of </w:t>
      </w:r>
      <w:r w:rsidRPr="00B075A6">
        <w:rPr>
          <w:b/>
          <w:bCs/>
          <w:sz w:val="20"/>
        </w:rPr>
        <w:t>Frequency Selection Area Identity (FSAI)</w:t>
      </w:r>
      <w:r w:rsidRPr="00B075A6">
        <w:rPr>
          <w:sz w:val="20"/>
        </w:rPr>
        <w:t xml:space="preserve"> for MBS. Each cell can broadcast one or more FSAIs in SIB21, identifying the “MBS areas” (in terms of frequency layers) it serves. However, the FSAI is essentially an identifier and does not directly inform the UE of the geographic boundary; it is used for continuity (to help the UE find the corresponding MBS frequency when moving) rather than as an explicit location indicator.</w:t>
      </w:r>
    </w:p>
    <w:p w14:paraId="54CADC0C" w14:textId="77777777" w:rsidR="0004747F" w:rsidRPr="00B075A6" w:rsidRDefault="0004747F" w:rsidP="0004747F">
      <w:pPr>
        <w:spacing w:before="100" w:beforeAutospacing="1" w:after="100" w:afterAutospacing="1"/>
        <w:rPr>
          <w:sz w:val="20"/>
        </w:rPr>
      </w:pPr>
      <w:r w:rsidRPr="00B075A6">
        <w:rPr>
          <w:b/>
          <w:bCs/>
          <w:sz w:val="20"/>
        </w:rPr>
        <w:t>NTN Scenario and Challenges:</w:t>
      </w:r>
      <w:r w:rsidRPr="00B075A6">
        <w:rPr>
          <w:sz w:val="20"/>
        </w:rPr>
        <w:t xml:space="preserve"> In NTN deployments, satellites have </w:t>
      </w:r>
      <w:r w:rsidRPr="00B075A6">
        <w:rPr>
          <w:b/>
          <w:bCs/>
          <w:sz w:val="20"/>
        </w:rPr>
        <w:t>large footprints</w:t>
      </w:r>
      <w:r w:rsidRPr="00B075A6">
        <w:rPr>
          <w:sz w:val="20"/>
        </w:rPr>
        <w:t xml:space="preserve"> and sometimes moving coverage:</w:t>
      </w:r>
    </w:p>
    <w:p w14:paraId="05689F64" w14:textId="77777777" w:rsidR="0004747F" w:rsidRPr="00B075A6" w:rsidRDefault="0004747F" w:rsidP="0004747F">
      <w:pPr>
        <w:numPr>
          <w:ilvl w:val="0"/>
          <w:numId w:val="35"/>
        </w:numPr>
        <w:spacing w:before="100" w:beforeAutospacing="1" w:after="100" w:afterAutospacing="1"/>
        <w:rPr>
          <w:sz w:val="20"/>
        </w:rPr>
      </w:pPr>
      <w:r w:rsidRPr="00B075A6">
        <w:rPr>
          <w:sz w:val="20"/>
        </w:rPr>
        <w:t>A single satellite beam (which acts as an NR cell) can cover a very broad region (hundreds of kilometers across). This beam might naturally encompass multiple cities, provinces or even countries. Meanwhile, a given broadcast service (e.g. local news or regional emergency alert) might be intended for only a subset of that beam’s coverage.</w:t>
      </w:r>
    </w:p>
    <w:p w14:paraId="19B76971" w14:textId="77777777" w:rsidR="0004747F" w:rsidRPr="00B075A6" w:rsidRDefault="0004747F" w:rsidP="0004747F">
      <w:pPr>
        <w:numPr>
          <w:ilvl w:val="0"/>
          <w:numId w:val="35"/>
        </w:numPr>
        <w:spacing w:before="100" w:beforeAutospacing="1" w:after="100" w:afterAutospacing="1"/>
        <w:rPr>
          <w:sz w:val="20"/>
        </w:rPr>
      </w:pPr>
      <w:r w:rsidRPr="00B075A6">
        <w:rPr>
          <w:sz w:val="20"/>
        </w:rPr>
        <w:t>If the satellite has multiple spot beams, the service might be intended for certain beams but not others.</w:t>
      </w:r>
    </w:p>
    <w:p w14:paraId="53FA4047" w14:textId="62E93AE0" w:rsidR="0004747F" w:rsidRPr="00B075A6" w:rsidRDefault="0004747F" w:rsidP="0004747F">
      <w:pPr>
        <w:numPr>
          <w:ilvl w:val="0"/>
          <w:numId w:val="35"/>
        </w:numPr>
        <w:spacing w:before="100" w:beforeAutospacing="1" w:after="100" w:afterAutospacing="1"/>
        <w:rPr>
          <w:sz w:val="20"/>
        </w:rPr>
      </w:pPr>
      <w:r w:rsidRPr="00B075A6">
        <w:rPr>
          <w:sz w:val="20"/>
        </w:rPr>
        <w:t xml:space="preserve">For non-geostationary (NGSO) satellites, the coverage area moves relative to the Earth. Networks often deploy </w:t>
      </w:r>
      <w:r w:rsidRPr="00B075A6">
        <w:rPr>
          <w:i/>
          <w:iCs/>
          <w:sz w:val="20"/>
        </w:rPr>
        <w:t>earth-fixed tracking areas</w:t>
      </w:r>
      <w:r w:rsidRPr="00B075A6">
        <w:rPr>
          <w:sz w:val="20"/>
        </w:rPr>
        <w:t xml:space="preserve"> so that as satellites move, UEs perform handovers between beams but remain in the same logical area​. This complicates how a “service area” is signaled – it may need to remain fixed on the Earth, independent of a particular satellite or cell.</w:t>
      </w:r>
    </w:p>
    <w:p w14:paraId="4280C1C1" w14:textId="77777777" w:rsidR="0004747F" w:rsidRPr="00B075A6" w:rsidRDefault="0004747F" w:rsidP="0004747F">
      <w:pPr>
        <w:spacing w:before="100" w:beforeAutospacing="1" w:after="100" w:afterAutospacing="1"/>
        <w:rPr>
          <w:sz w:val="20"/>
        </w:rPr>
      </w:pPr>
      <w:r w:rsidRPr="00B075A6">
        <w:rPr>
          <w:sz w:val="20"/>
        </w:rPr>
        <w:t xml:space="preserve">Due to these factors, simply relying on network area IDs may be insufficient. For example, a beam could cover both </w:t>
      </w:r>
      <w:r w:rsidRPr="00B075A6">
        <w:rPr>
          <w:i/>
          <w:iCs/>
          <w:sz w:val="20"/>
        </w:rPr>
        <w:t>Region A</w:t>
      </w:r>
      <w:r w:rsidRPr="00B075A6">
        <w:rPr>
          <w:sz w:val="20"/>
        </w:rPr>
        <w:t xml:space="preserve"> (where content is intended) and part of </w:t>
      </w:r>
      <w:r w:rsidRPr="00B075A6">
        <w:rPr>
          <w:i/>
          <w:iCs/>
          <w:sz w:val="20"/>
        </w:rPr>
        <w:t>Region B</w:t>
      </w:r>
      <w:r w:rsidRPr="00B075A6">
        <w:rPr>
          <w:sz w:val="20"/>
        </w:rPr>
        <w:t xml:space="preserve"> (where the content should effectively be ignored). If the network marks the entire beam (cell) as serving the MBS, UEs in Region B will still technically receive it. On the other hand, if the network were to split coverage into smaller tracking areas to approximate Region A, this adds complexity and still may not perfectly match the intended area. A more direct signaling of the geographic area would allow UEs to discern applicability even if they reside in an “overshooting” cell.</w:t>
      </w:r>
    </w:p>
    <w:p w14:paraId="50C2BAEA" w14:textId="0437D687" w:rsidR="0004747F" w:rsidRPr="00B075A6" w:rsidRDefault="0004747F" w:rsidP="0004747F">
      <w:pPr>
        <w:spacing w:before="100" w:beforeAutospacing="1" w:after="100" w:afterAutospacing="1"/>
        <w:rPr>
          <w:sz w:val="20"/>
        </w:rPr>
      </w:pPr>
      <w:r w:rsidRPr="00B075A6">
        <w:rPr>
          <w:b/>
          <w:bCs/>
          <w:sz w:val="20"/>
        </w:rPr>
        <w:t>User Equipment Capabilities:</w:t>
      </w:r>
      <w:r w:rsidRPr="00B075A6">
        <w:rPr>
          <w:sz w:val="20"/>
        </w:rPr>
        <w:t xml:space="preserve"> For NTN, it is assumed in earlier releases that UEs have the capability to determine their own geolocation (e.g. via </w:t>
      </w:r>
      <w:proofErr w:type="gramStart"/>
      <w:r w:rsidRPr="00B075A6">
        <w:rPr>
          <w:sz w:val="20"/>
        </w:rPr>
        <w:t>GNSS)​</w:t>
      </w:r>
      <w:proofErr w:type="gramEnd"/>
      <w:r w:rsidRPr="00B075A6">
        <w:rPr>
          <w:sz w:val="20"/>
        </w:rPr>
        <w:t>. This assumption underpins Proposal 1, since the UE may need to evaluate coordinates. In terrestrial networks, UEs may not always have GPS active, but network area identifiers (cell ID, TA) are readily available to the UE from system info and NAS. Thus, Proposal 2 aligns with existing terrestrial practices (no GNSS needed), whereas Proposal 1 leverages the anticipated GNSS availability in NTN.</w:t>
      </w:r>
    </w:p>
    <w:p w14:paraId="59899353" w14:textId="77777777" w:rsidR="0004747F" w:rsidRPr="00B075A6" w:rsidRDefault="0004747F" w:rsidP="0004747F">
      <w:pPr>
        <w:spacing w:before="100" w:beforeAutospacing="1" w:after="100" w:afterAutospacing="1"/>
        <w:rPr>
          <w:sz w:val="20"/>
        </w:rPr>
      </w:pPr>
      <w:r w:rsidRPr="00B075A6">
        <w:rPr>
          <w:b/>
          <w:bCs/>
          <w:sz w:val="20"/>
        </w:rPr>
        <w:t>RAN Signaling Needs:</w:t>
      </w:r>
      <w:r w:rsidRPr="00B075A6">
        <w:rPr>
          <w:sz w:val="20"/>
        </w:rPr>
        <w:t xml:space="preserve"> The challenge for RAN3 is to design how the </w:t>
      </w:r>
      <w:r w:rsidRPr="00B075A6">
        <w:rPr>
          <w:i/>
          <w:iCs/>
          <w:sz w:val="20"/>
        </w:rPr>
        <w:t>core network’s knowledge of the service area</w:t>
      </w:r>
      <w:r w:rsidRPr="00B075A6">
        <w:rPr>
          <w:sz w:val="20"/>
        </w:rPr>
        <w:t xml:space="preserve"> (whether defined as coordinates or as a list of coverage areas) is passed down to NG-RAN and then broadcasted to UEs:</w:t>
      </w:r>
    </w:p>
    <w:p w14:paraId="0DE5BBB6" w14:textId="77777777" w:rsidR="0004747F" w:rsidRPr="00B075A6" w:rsidRDefault="0004747F" w:rsidP="0004747F">
      <w:pPr>
        <w:numPr>
          <w:ilvl w:val="0"/>
          <w:numId w:val="36"/>
        </w:numPr>
        <w:spacing w:before="100" w:beforeAutospacing="1" w:after="100" w:afterAutospacing="1"/>
        <w:rPr>
          <w:sz w:val="20"/>
        </w:rPr>
      </w:pPr>
      <w:r w:rsidRPr="00B075A6">
        <w:rPr>
          <w:sz w:val="20"/>
        </w:rPr>
        <w:t xml:space="preserve">Over the NG interface (NGAP), new Information Elements may be needed in messages like an MBS Session Start/Update, such that the AMF/MB-SMF can inform </w:t>
      </w:r>
      <w:proofErr w:type="spellStart"/>
      <w:r w:rsidRPr="00B075A6">
        <w:rPr>
          <w:sz w:val="20"/>
        </w:rPr>
        <w:t>gNBs</w:t>
      </w:r>
      <w:proofErr w:type="spellEnd"/>
      <w:r w:rsidRPr="00B075A6">
        <w:rPr>
          <w:sz w:val="20"/>
        </w:rPr>
        <w:t xml:space="preserve"> of the service area for a broadcast session.</w:t>
      </w:r>
    </w:p>
    <w:p w14:paraId="415EDF74" w14:textId="77777777" w:rsidR="0004747F" w:rsidRPr="00B075A6" w:rsidRDefault="0004747F" w:rsidP="0004747F">
      <w:pPr>
        <w:numPr>
          <w:ilvl w:val="0"/>
          <w:numId w:val="36"/>
        </w:numPr>
        <w:spacing w:before="100" w:beforeAutospacing="1" w:after="100" w:afterAutospacing="1"/>
        <w:rPr>
          <w:sz w:val="20"/>
        </w:rPr>
      </w:pPr>
      <w:r w:rsidRPr="00B075A6">
        <w:rPr>
          <w:sz w:val="20"/>
        </w:rPr>
        <w:t xml:space="preserve">Over the </w:t>
      </w:r>
      <w:proofErr w:type="spellStart"/>
      <w:r w:rsidRPr="00B075A6">
        <w:rPr>
          <w:sz w:val="20"/>
        </w:rPr>
        <w:t>Uu</w:t>
      </w:r>
      <w:proofErr w:type="spellEnd"/>
      <w:r w:rsidRPr="00B075A6">
        <w:rPr>
          <w:sz w:val="20"/>
        </w:rPr>
        <w:t xml:space="preserve"> interface (RRC), NG-RAN needs to broadcast the service area information (in some suitable SIB or MBS control channel) so that all UEs receiving the broadcast know the intended area.</w:t>
      </w:r>
    </w:p>
    <w:p w14:paraId="6FAF30AA" w14:textId="77777777" w:rsidR="0004747F" w:rsidRPr="00B075A6" w:rsidRDefault="0004747F" w:rsidP="0004747F">
      <w:pPr>
        <w:spacing w:before="100" w:beforeAutospacing="1" w:after="100" w:afterAutospacing="1"/>
        <w:rPr>
          <w:sz w:val="20"/>
        </w:rPr>
      </w:pPr>
      <w:r w:rsidRPr="00B075A6">
        <w:rPr>
          <w:sz w:val="20"/>
        </w:rPr>
        <w:lastRenderedPageBreak/>
        <w:t>This must be achieved with minimal overhead and without ambiguity. The following Problem Statement summarizes the gap, and then two proposals are detailed.</w:t>
      </w:r>
    </w:p>
    <w:p w14:paraId="2EEAED8F" w14:textId="77777777" w:rsidR="0004747F" w:rsidRDefault="0004747F" w:rsidP="0004747F">
      <w:pPr>
        <w:pStyle w:val="Heading2"/>
      </w:pPr>
      <w:r>
        <w:t>Problem Statement</w:t>
      </w:r>
    </w:p>
    <w:p w14:paraId="05A84DE9" w14:textId="77777777" w:rsidR="0004747F" w:rsidRPr="00B075A6" w:rsidRDefault="0004747F" w:rsidP="0004747F">
      <w:pPr>
        <w:spacing w:before="100" w:beforeAutospacing="1" w:after="100" w:afterAutospacing="1"/>
        <w:rPr>
          <w:sz w:val="20"/>
        </w:rPr>
      </w:pPr>
      <w:r w:rsidRPr="00B075A6">
        <w:rPr>
          <w:b/>
          <w:bCs/>
          <w:sz w:val="20"/>
        </w:rPr>
        <w:t>Need for Explicit Service Area Signaling:</w:t>
      </w:r>
      <w:r w:rsidRPr="00B075A6">
        <w:rPr>
          <w:sz w:val="20"/>
        </w:rPr>
        <w:t xml:space="preserve"> Currently, without dedicated signaling, a UE might only infer the service area implicitly (e.g. by the fact that a certain MBS is present on a given frequency or via an ID). In NTN and even terrestrial local-broadcast scenarios, this is inadequate. The UE needs a clear indication of </w:t>
      </w:r>
      <w:r w:rsidRPr="00B075A6">
        <w:rPr>
          <w:i/>
          <w:iCs/>
          <w:sz w:val="20"/>
        </w:rPr>
        <w:t>where</w:t>
      </w:r>
      <w:r w:rsidRPr="00B075A6">
        <w:rPr>
          <w:sz w:val="20"/>
        </w:rPr>
        <w:t xml:space="preserve"> a broadcast service is meant to be available. This is critical for:</w:t>
      </w:r>
    </w:p>
    <w:p w14:paraId="24C197A6" w14:textId="77777777" w:rsidR="0004747F" w:rsidRPr="00B075A6" w:rsidRDefault="0004747F" w:rsidP="0004747F">
      <w:pPr>
        <w:numPr>
          <w:ilvl w:val="0"/>
          <w:numId w:val="37"/>
        </w:numPr>
        <w:spacing w:before="100" w:beforeAutospacing="1" w:after="100" w:afterAutospacing="1"/>
        <w:rPr>
          <w:sz w:val="20"/>
        </w:rPr>
      </w:pPr>
      <w:r w:rsidRPr="00B075A6">
        <w:rPr>
          <w:b/>
          <w:bCs/>
          <w:sz w:val="20"/>
        </w:rPr>
        <w:t>Service filtering:</w:t>
      </w:r>
      <w:r w:rsidRPr="00B075A6">
        <w:rPr>
          <w:sz w:val="20"/>
        </w:rPr>
        <w:t xml:space="preserve"> UEs outside the intended region should know that the content is not relevant for them (and potentially ignore it to save battery or avoid confusion). For example, a UE on the edge of a satellite beam can determine it is outside the target country for a news broadcast if told the broadcast’s service area.</w:t>
      </w:r>
    </w:p>
    <w:p w14:paraId="31E37108" w14:textId="77777777" w:rsidR="0004747F" w:rsidRPr="00B075A6" w:rsidRDefault="0004747F" w:rsidP="0004747F">
      <w:pPr>
        <w:numPr>
          <w:ilvl w:val="0"/>
          <w:numId w:val="37"/>
        </w:numPr>
        <w:spacing w:before="100" w:beforeAutospacing="1" w:after="100" w:afterAutospacing="1"/>
        <w:rPr>
          <w:sz w:val="20"/>
        </w:rPr>
      </w:pPr>
      <w:r w:rsidRPr="00B075A6">
        <w:rPr>
          <w:b/>
          <w:bCs/>
          <w:sz w:val="20"/>
        </w:rPr>
        <w:t>Seamless service continuity:</w:t>
      </w:r>
      <w:r w:rsidRPr="00B075A6">
        <w:rPr>
          <w:sz w:val="20"/>
        </w:rPr>
        <w:t xml:space="preserve"> When a UE moves across service area boundaries, it should be aware when it has left one MBS service area and entered another. Without signaling, the UE might continue expecting content that will not be delivered after leaving the area. Explicit area info helps the UE or upper layers handle service transitions (e.g. trigger a switch to unicast or to a different broadcast).</w:t>
      </w:r>
    </w:p>
    <w:p w14:paraId="7D73FC72" w14:textId="77777777" w:rsidR="0004747F" w:rsidRPr="00B075A6" w:rsidRDefault="0004747F" w:rsidP="0004747F">
      <w:pPr>
        <w:numPr>
          <w:ilvl w:val="0"/>
          <w:numId w:val="37"/>
        </w:numPr>
        <w:spacing w:before="100" w:beforeAutospacing="1" w:after="100" w:afterAutospacing="1"/>
        <w:rPr>
          <w:sz w:val="20"/>
        </w:rPr>
      </w:pPr>
      <w:r w:rsidRPr="00B075A6">
        <w:rPr>
          <w:b/>
          <w:bCs/>
          <w:sz w:val="20"/>
        </w:rPr>
        <w:t>Regulatory compliance and user experience:</w:t>
      </w:r>
      <w:r w:rsidRPr="00B075A6">
        <w:rPr>
          <w:sz w:val="20"/>
        </w:rPr>
        <w:t xml:space="preserve"> Some broadcasts (like emergency alerts) must only be presented to users in a certain region. Conversely, users in the region should trust that if the device indicates no broadcast, it truly is not available in that location. Accurate signaling ensures this alignment.</w:t>
      </w:r>
    </w:p>
    <w:p w14:paraId="207054EC" w14:textId="67306410" w:rsidR="0004747F" w:rsidRPr="00B075A6" w:rsidRDefault="0004747F" w:rsidP="0004747F">
      <w:pPr>
        <w:spacing w:before="100" w:beforeAutospacing="1" w:after="100" w:afterAutospacing="1"/>
        <w:rPr>
          <w:sz w:val="20"/>
        </w:rPr>
      </w:pPr>
      <w:r w:rsidRPr="00B075A6">
        <w:rPr>
          <w:b/>
          <w:bCs/>
          <w:sz w:val="20"/>
        </w:rPr>
        <w:t>Core-RAN Coordination:</w:t>
      </w:r>
      <w:r w:rsidRPr="00B075A6">
        <w:rPr>
          <w:sz w:val="20"/>
        </w:rPr>
        <w:t xml:space="preserve"> The 5G Core knows the intended area (via provisioning from an application or AF). As per TS 23.247, the core might translate a geographic description into a list of cells/TAIs for distribution, and will only initiate the MBS session in those areas. However, RAN nodes serving those areas need to convey that information to UEs. In NG-RAN (both </w:t>
      </w:r>
      <w:proofErr w:type="spellStart"/>
      <w:r w:rsidRPr="00B075A6">
        <w:rPr>
          <w:sz w:val="20"/>
        </w:rPr>
        <w:t>gNB</w:t>
      </w:r>
      <w:proofErr w:type="spellEnd"/>
      <w:r w:rsidRPr="00B075A6">
        <w:rPr>
          <w:sz w:val="20"/>
        </w:rPr>
        <w:t xml:space="preserve"> on ground or regenerative </w:t>
      </w:r>
      <w:proofErr w:type="spellStart"/>
      <w:r w:rsidRPr="00B075A6">
        <w:rPr>
          <w:sz w:val="20"/>
        </w:rPr>
        <w:t>gNB</w:t>
      </w:r>
      <w:proofErr w:type="spellEnd"/>
      <w:r w:rsidRPr="00B075A6">
        <w:rPr>
          <w:sz w:val="20"/>
        </w:rPr>
        <w:t xml:space="preserve"> onboard a satellite), there is currently </w:t>
      </w:r>
      <w:r w:rsidRPr="00B075A6">
        <w:rPr>
          <w:i/>
          <w:iCs/>
          <w:sz w:val="20"/>
        </w:rPr>
        <w:t>no standardized RRC IE to describe a geographic area</w:t>
      </w:r>
      <w:r w:rsidRPr="00B075A6">
        <w:rPr>
          <w:sz w:val="20"/>
        </w:rPr>
        <w:t>. RAN2 would need to introduce such IEs and possibly new SIBs or extend existing ones (like SIB21/SIB22) to carry either a coordinate-based descriptor or a list of area identifiers.</w:t>
      </w:r>
    </w:p>
    <w:p w14:paraId="5F3F16DF" w14:textId="4D8328B1" w:rsidR="0004747F" w:rsidRPr="00B075A6" w:rsidRDefault="0004747F" w:rsidP="0004747F">
      <w:pPr>
        <w:spacing w:before="100" w:beforeAutospacing="1" w:after="100" w:afterAutospacing="1"/>
        <w:rPr>
          <w:sz w:val="20"/>
        </w:rPr>
      </w:pPr>
      <w:r w:rsidRPr="00B075A6">
        <w:rPr>
          <w:b/>
          <w:bCs/>
          <w:sz w:val="20"/>
        </w:rPr>
        <w:t>NGAP Impact:</w:t>
      </w:r>
      <w:r w:rsidRPr="00B075A6">
        <w:rPr>
          <w:sz w:val="20"/>
        </w:rPr>
        <w:t xml:space="preserve"> Similarly, NGAP (TS 38.413) was extended in Rel-17 to support MBS Session Control (e.g. </w:t>
      </w:r>
      <w:r w:rsidRPr="00B075A6">
        <w:rPr>
          <w:i/>
          <w:iCs/>
          <w:sz w:val="20"/>
        </w:rPr>
        <w:t>MBS Session Start Request</w:t>
      </w:r>
      <w:r w:rsidRPr="00B075A6">
        <w:rPr>
          <w:sz w:val="20"/>
        </w:rPr>
        <w:t xml:space="preserve"> carrying a TMGI and possibly area </w:t>
      </w:r>
      <w:proofErr w:type="gramStart"/>
      <w:r w:rsidRPr="00B075A6">
        <w:rPr>
          <w:sz w:val="20"/>
        </w:rPr>
        <w:t>identifiers)​</w:t>
      </w:r>
      <w:proofErr w:type="gramEnd"/>
      <w:r w:rsidRPr="00B075A6">
        <w:rPr>
          <w:sz w:val="20"/>
        </w:rPr>
        <w:t xml:space="preserve">. If a new format (like coordinates) is adopted, NGAP needs to support that in the messages from AMF to </w:t>
      </w:r>
      <w:proofErr w:type="spellStart"/>
      <w:r w:rsidRPr="00B075A6">
        <w:rPr>
          <w:sz w:val="20"/>
        </w:rPr>
        <w:t>gNB</w:t>
      </w:r>
      <w:proofErr w:type="spellEnd"/>
      <w:r w:rsidRPr="00B075A6">
        <w:rPr>
          <w:sz w:val="20"/>
        </w:rPr>
        <w:t>. RAN3 must ensure that whatever solution is chosen, it can be transparently carried over the NG-C interface.</w:t>
      </w:r>
    </w:p>
    <w:p w14:paraId="125D610D" w14:textId="58AF306E" w:rsidR="0004747F" w:rsidRPr="00B075A6" w:rsidRDefault="0004747F" w:rsidP="0004747F">
      <w:pPr>
        <w:spacing w:before="100" w:beforeAutospacing="1" w:after="100" w:afterAutospacing="1"/>
        <w:rPr>
          <w:sz w:val="20"/>
        </w:rPr>
      </w:pPr>
      <w:r w:rsidRPr="00B075A6">
        <w:rPr>
          <w:sz w:val="20"/>
        </w:rPr>
        <w:t xml:space="preserve">In summary, the problem is to define a RAN signaling mechanism such that </w:t>
      </w:r>
      <w:r w:rsidRPr="00B075A6">
        <w:rPr>
          <w:b/>
          <w:bCs/>
          <w:sz w:val="20"/>
        </w:rPr>
        <w:t>“the intended service area of a broadcast MBS session”</w:t>
      </w:r>
      <w:r w:rsidRPr="00B075A6">
        <w:rPr>
          <w:sz w:val="20"/>
        </w:rPr>
        <w:t xml:space="preserve"> is communicated from 5GC to NG-RAN and from NG-RAN to UEs in the area. The solution should be efficient (not adding undue broadcast overhead), unambiguous, and workable for both NTN scenarios (with large, possibly moving cells and GNSS-aware UEs) and terrestrial scenarios (with smaller cells and possibly GNSS-unaware UEs). The following two proposals address this, each with different design philosophies.</w:t>
      </w:r>
    </w:p>
    <w:p w14:paraId="53E1DDED" w14:textId="3D371D88" w:rsidR="0004747F" w:rsidRPr="0004747F" w:rsidRDefault="0004747F" w:rsidP="0004747F">
      <w:pPr>
        <w:pStyle w:val="Heading2"/>
      </w:pPr>
      <w:r w:rsidRPr="0004747F">
        <w:t>Proposal 1: Geographic Coordinates-Based Signaling</w:t>
      </w:r>
    </w:p>
    <w:p w14:paraId="56E7ADF9" w14:textId="77777777" w:rsidR="0004747F" w:rsidRPr="00B075A6" w:rsidRDefault="0004747F" w:rsidP="0004747F">
      <w:pPr>
        <w:spacing w:before="100" w:beforeAutospacing="1" w:after="100" w:afterAutospacing="1"/>
        <w:rPr>
          <w:bCs/>
          <w:sz w:val="20"/>
        </w:rPr>
      </w:pPr>
      <w:r w:rsidRPr="00B075A6">
        <w:rPr>
          <w:sz w:val="20"/>
        </w:rPr>
        <w:t>Overview:</w:t>
      </w:r>
      <w:r w:rsidRPr="00B075A6">
        <w:rPr>
          <w:bCs/>
          <w:sz w:val="20"/>
        </w:rPr>
        <w:t xml:space="preserve"> In this proposal, the network signals the MBS service area as a set of geographic coordinates that describe a shape (e.g. a polygon or circle) encompassing the intended coverage region. The coordinates are encoded in a compact octet string format, leveraging the well-established 3GPP location encoding defined in TS 23.032 (the </w:t>
      </w:r>
      <w:r w:rsidRPr="00B075A6">
        <w:rPr>
          <w:bCs/>
          <w:i/>
          <w:iCs/>
          <w:sz w:val="20"/>
        </w:rPr>
        <w:t>Universal Geographical Area Description</w:t>
      </w:r>
      <w:r w:rsidRPr="00B075A6">
        <w:rPr>
          <w:bCs/>
          <w:sz w:val="20"/>
        </w:rPr>
        <w:t xml:space="preserve"> format). UEs would decode this octet string to obtain the geographic area and then compare it with their own location (if known) to determine if they are inside the service area. This approach directly conveys the </w:t>
      </w:r>
      <w:r w:rsidRPr="00B075A6">
        <w:rPr>
          <w:bCs/>
          <w:i/>
          <w:iCs/>
          <w:sz w:val="20"/>
        </w:rPr>
        <w:t xml:space="preserve">physical </w:t>
      </w:r>
      <w:r w:rsidRPr="00B075A6">
        <w:rPr>
          <w:bCs/>
          <w:sz w:val="20"/>
        </w:rPr>
        <w:t>area of the broadcast service.</w:t>
      </w:r>
    </w:p>
    <w:p w14:paraId="110A1B93" w14:textId="77777777" w:rsidR="0004747F" w:rsidRPr="00B075A6" w:rsidRDefault="0004747F" w:rsidP="00B075A6">
      <w:pPr>
        <w:spacing w:before="100" w:beforeAutospacing="1" w:after="100" w:afterAutospacing="1"/>
        <w:rPr>
          <w:b/>
          <w:bCs/>
          <w:sz w:val="20"/>
        </w:rPr>
      </w:pPr>
      <w:r w:rsidRPr="00B075A6">
        <w:rPr>
          <w:b/>
          <w:bCs/>
          <w:sz w:val="20"/>
        </w:rPr>
        <w:t>ASN.1 Information Element Definitions (Geo-Coordinates Approach)</w:t>
      </w:r>
    </w:p>
    <w:p w14:paraId="4BD0A261" w14:textId="77777777" w:rsidR="0004747F" w:rsidRPr="00B075A6" w:rsidRDefault="0004747F" w:rsidP="0004747F">
      <w:pPr>
        <w:spacing w:before="100" w:beforeAutospacing="1" w:after="100" w:afterAutospacing="1"/>
        <w:rPr>
          <w:bCs/>
          <w:sz w:val="20"/>
        </w:rPr>
      </w:pPr>
      <w:r w:rsidRPr="00B075A6">
        <w:rPr>
          <w:bCs/>
          <w:sz w:val="20"/>
        </w:rPr>
        <w:t>For carrying the coordinate-based description, new IEs are introduced in both NGAP and RRC specifications:</w:t>
      </w:r>
    </w:p>
    <w:p w14:paraId="1DF2441F" w14:textId="77777777" w:rsidR="0004747F" w:rsidRPr="00B075A6" w:rsidRDefault="0004747F" w:rsidP="00B075A6">
      <w:pPr>
        <w:spacing w:before="100" w:beforeAutospacing="1" w:after="100" w:afterAutospacing="1"/>
        <w:rPr>
          <w:bCs/>
          <w:sz w:val="20"/>
        </w:rPr>
      </w:pPr>
      <w:r w:rsidRPr="00B075A6">
        <w:rPr>
          <w:sz w:val="20"/>
        </w:rPr>
        <w:lastRenderedPageBreak/>
        <w:t>NGAP IE:</w:t>
      </w:r>
      <w:r w:rsidRPr="00B075A6">
        <w:rPr>
          <w:bCs/>
          <w:sz w:val="20"/>
        </w:rPr>
        <w:t xml:space="preserve"> e.g., </w:t>
      </w:r>
      <w:proofErr w:type="spellStart"/>
      <w:r w:rsidRPr="00B075A6">
        <w:rPr>
          <w:bCs/>
        </w:rPr>
        <w:t>BroadcastServiceAreaCoordinates</w:t>
      </w:r>
      <w:proofErr w:type="spellEnd"/>
      <w:r w:rsidRPr="00B075A6">
        <w:rPr>
          <w:bCs/>
          <w:sz w:val="20"/>
        </w:rPr>
        <w:t>. This IE can be included in an MBS Session Start or Update message at NGAP. It is defined as an OCTET STRING containing the geographic area information. The content follows the encoding rules of TS 23.032. For example:</w:t>
      </w:r>
    </w:p>
    <w:p w14:paraId="5A0780B7" w14:textId="77777777" w:rsidR="0004747F" w:rsidRPr="00B075A6" w:rsidRDefault="0004747F" w:rsidP="00B075A6">
      <w:pPr>
        <w:pBdr>
          <w:top w:val="single" w:sz="4" w:space="1" w:color="auto"/>
          <w:left w:val="single" w:sz="4" w:space="4" w:color="auto"/>
          <w:bottom w:val="single" w:sz="4" w:space="1" w:color="auto"/>
          <w:right w:val="single" w:sz="4" w:space="4" w:color="auto"/>
        </w:pBdr>
        <w:spacing w:before="100" w:beforeAutospacing="1" w:after="100" w:afterAutospacing="1"/>
        <w:rPr>
          <w:bCs/>
          <w:i/>
          <w:sz w:val="20"/>
        </w:rPr>
      </w:pPr>
      <w:proofErr w:type="spellStart"/>
      <w:proofErr w:type="gramStart"/>
      <w:r w:rsidRPr="00B075A6">
        <w:rPr>
          <w:bCs/>
          <w:i/>
          <w:sz w:val="20"/>
        </w:rPr>
        <w:t>BroadcastServiceAreaCoordinates</w:t>
      </w:r>
      <w:proofErr w:type="spellEnd"/>
      <w:r w:rsidRPr="00B075A6">
        <w:rPr>
          <w:bCs/>
          <w:i/>
          <w:sz w:val="20"/>
        </w:rPr>
        <w:t xml:space="preserve"> ::=</w:t>
      </w:r>
      <w:proofErr w:type="gramEnd"/>
      <w:r w:rsidRPr="00B075A6">
        <w:rPr>
          <w:bCs/>
          <w:i/>
          <w:sz w:val="20"/>
        </w:rPr>
        <w:t xml:space="preserve"> OCTET STRING (SIZE(1..maxGeoLength))</w:t>
      </w:r>
    </w:p>
    <w:p w14:paraId="6CE1C21F" w14:textId="77777777" w:rsidR="0004747F" w:rsidRPr="00B075A6" w:rsidRDefault="0004747F" w:rsidP="00B075A6">
      <w:pPr>
        <w:pBdr>
          <w:top w:val="single" w:sz="4" w:space="1" w:color="auto"/>
          <w:left w:val="single" w:sz="4" w:space="4" w:color="auto"/>
          <w:bottom w:val="single" w:sz="4" w:space="1" w:color="auto"/>
          <w:right w:val="single" w:sz="4" w:space="4" w:color="auto"/>
        </w:pBdr>
        <w:spacing w:before="100" w:beforeAutospacing="1" w:after="100" w:afterAutospacing="1"/>
        <w:rPr>
          <w:bCs/>
          <w:i/>
          <w:sz w:val="20"/>
        </w:rPr>
      </w:pPr>
      <w:r w:rsidRPr="00B075A6">
        <w:rPr>
          <w:bCs/>
          <w:i/>
          <w:sz w:val="20"/>
        </w:rPr>
        <w:t xml:space="preserve">    -- Contains a geographic area description per 3GPP TS 23.032 [N]. </w:t>
      </w:r>
    </w:p>
    <w:p w14:paraId="2BE110B4" w14:textId="77777777" w:rsidR="0004747F" w:rsidRPr="00B075A6" w:rsidRDefault="0004747F" w:rsidP="00B075A6">
      <w:pPr>
        <w:pBdr>
          <w:top w:val="single" w:sz="4" w:space="1" w:color="auto"/>
          <w:left w:val="single" w:sz="4" w:space="4" w:color="auto"/>
          <w:bottom w:val="single" w:sz="4" w:space="1" w:color="auto"/>
          <w:right w:val="single" w:sz="4" w:space="4" w:color="auto"/>
        </w:pBdr>
        <w:spacing w:before="100" w:beforeAutospacing="1" w:after="100" w:afterAutospacing="1"/>
        <w:rPr>
          <w:bCs/>
          <w:i/>
          <w:sz w:val="20"/>
        </w:rPr>
      </w:pPr>
      <w:r w:rsidRPr="00B075A6">
        <w:rPr>
          <w:bCs/>
          <w:i/>
          <w:sz w:val="20"/>
        </w:rPr>
        <w:t xml:space="preserve">    -- For instance, it may encode an Ellipsoid point with uncertainty circle, </w:t>
      </w:r>
    </w:p>
    <w:p w14:paraId="30AAA3C9" w14:textId="5E08973E" w:rsidR="0004747F" w:rsidRPr="00B075A6" w:rsidRDefault="0004747F" w:rsidP="00B075A6">
      <w:pPr>
        <w:pBdr>
          <w:top w:val="single" w:sz="4" w:space="1" w:color="auto"/>
          <w:left w:val="single" w:sz="4" w:space="4" w:color="auto"/>
          <w:bottom w:val="single" w:sz="4" w:space="1" w:color="auto"/>
          <w:right w:val="single" w:sz="4" w:space="4" w:color="auto"/>
        </w:pBdr>
        <w:spacing w:before="100" w:beforeAutospacing="1" w:after="100" w:afterAutospacing="1"/>
        <w:rPr>
          <w:bCs/>
          <w:i/>
          <w:sz w:val="20"/>
        </w:rPr>
      </w:pPr>
      <w:r w:rsidRPr="00B075A6">
        <w:rPr>
          <w:bCs/>
          <w:i/>
          <w:sz w:val="20"/>
        </w:rPr>
        <w:t xml:space="preserve">    -- an Ellipsoid polygon, etc., as defined in TS 23.032.</w:t>
      </w:r>
    </w:p>
    <w:p w14:paraId="5A067301" w14:textId="56C56317" w:rsidR="0004747F" w:rsidRPr="0004747F" w:rsidRDefault="0004747F" w:rsidP="0004747F">
      <w:pPr>
        <w:spacing w:before="100" w:beforeAutospacing="1" w:after="100" w:afterAutospacing="1"/>
        <w:rPr>
          <w:bCs/>
          <w:sz w:val="20"/>
        </w:rPr>
      </w:pPr>
      <w:r w:rsidRPr="0004747F">
        <w:rPr>
          <w:bCs/>
          <w:sz w:val="20"/>
        </w:rPr>
        <w:t xml:space="preserve">Here, </w:t>
      </w:r>
      <w:proofErr w:type="spellStart"/>
      <w:r w:rsidRPr="00B075A6">
        <w:rPr>
          <w:bCs/>
          <w:sz w:val="20"/>
        </w:rPr>
        <w:t>maxGeoLength</w:t>
      </w:r>
      <w:proofErr w:type="spellEnd"/>
      <w:r w:rsidRPr="0004747F">
        <w:rPr>
          <w:bCs/>
          <w:sz w:val="20"/>
        </w:rPr>
        <w:t xml:space="preserve"> can be set to accommodate the largest expected area descriptor (TS 23.032 supports various shapes; a complex polygon with up to 15 points would determine the needed length). TS 23.032 encodings typically range from 1 octet (for a simple reference) up to ~20-30 octets for detailed shapes. For reference, the existing IE </w:t>
      </w:r>
      <w:r w:rsidRPr="00B075A6">
        <w:rPr>
          <w:bCs/>
          <w:sz w:val="20"/>
        </w:rPr>
        <w:t>Add-</w:t>
      </w:r>
      <w:proofErr w:type="spellStart"/>
      <w:r w:rsidRPr="00B075A6">
        <w:rPr>
          <w:bCs/>
          <w:sz w:val="20"/>
        </w:rPr>
        <w:t>GeographicalInformation</w:t>
      </w:r>
      <w:proofErr w:type="spellEnd"/>
      <w:r w:rsidRPr="0004747F">
        <w:rPr>
          <w:bCs/>
          <w:sz w:val="20"/>
        </w:rPr>
        <w:t xml:space="preserve"> in LCS uses a similar construct: </w:t>
      </w:r>
      <w:r w:rsidRPr="00B075A6">
        <w:rPr>
          <w:bCs/>
          <w:sz w:val="20"/>
        </w:rPr>
        <w:t>“Add-</w:t>
      </w:r>
      <w:proofErr w:type="spellStart"/>
      <w:proofErr w:type="gramStart"/>
      <w:r w:rsidRPr="00B075A6">
        <w:rPr>
          <w:bCs/>
          <w:sz w:val="20"/>
        </w:rPr>
        <w:t>GeographicalInformation</w:t>
      </w:r>
      <w:proofErr w:type="spellEnd"/>
      <w:r w:rsidRPr="00B075A6">
        <w:rPr>
          <w:bCs/>
          <w:sz w:val="20"/>
        </w:rPr>
        <w:t xml:space="preserve"> ::=</w:t>
      </w:r>
      <w:proofErr w:type="gramEnd"/>
      <w:r w:rsidRPr="00B075A6">
        <w:rPr>
          <w:bCs/>
          <w:sz w:val="20"/>
        </w:rPr>
        <w:t xml:space="preserve"> OCTET STRING (SIZE(1..maxAddGeographicalInformation)) -- refers to geographical info defined in 3GPP TS 23.032”</w:t>
      </w:r>
      <w:r w:rsidRPr="0004747F">
        <w:rPr>
          <w:bCs/>
          <w:sz w:val="20"/>
        </w:rPr>
        <w:t>​</w:t>
      </w:r>
      <w:r w:rsidRPr="00B075A6">
        <w:rPr>
          <w:bCs/>
          <w:sz w:val="20"/>
        </w:rPr>
        <w:t>.</w:t>
      </w:r>
    </w:p>
    <w:p w14:paraId="4476DA89" w14:textId="6D7751A7" w:rsidR="0004747F" w:rsidRPr="00B075A6" w:rsidRDefault="0004747F" w:rsidP="00B075A6">
      <w:pPr>
        <w:spacing w:before="100" w:beforeAutospacing="1" w:after="100" w:afterAutospacing="1"/>
        <w:rPr>
          <w:bCs/>
          <w:sz w:val="20"/>
        </w:rPr>
      </w:pPr>
      <w:r w:rsidRPr="00B075A6">
        <w:rPr>
          <w:bCs/>
          <w:sz w:val="20"/>
        </w:rPr>
        <w:t>RRC IE:</w:t>
      </w:r>
      <w:r w:rsidRPr="0004747F">
        <w:rPr>
          <w:bCs/>
          <w:sz w:val="20"/>
        </w:rPr>
        <w:t xml:space="preserve"> e.g., </w:t>
      </w:r>
      <w:r w:rsidRPr="00B075A6">
        <w:rPr>
          <w:bCs/>
          <w:sz w:val="20"/>
        </w:rPr>
        <w:t>MBS-</w:t>
      </w:r>
      <w:proofErr w:type="spellStart"/>
      <w:r w:rsidRPr="00B075A6">
        <w:rPr>
          <w:bCs/>
          <w:sz w:val="20"/>
        </w:rPr>
        <w:t>GeographicServiceArea</w:t>
      </w:r>
      <w:proofErr w:type="spellEnd"/>
      <w:r w:rsidRPr="0004747F">
        <w:rPr>
          <w:bCs/>
          <w:sz w:val="20"/>
        </w:rPr>
        <w:t xml:space="preserve">. This would be included in the </w:t>
      </w:r>
      <w:proofErr w:type="spellStart"/>
      <w:r w:rsidRPr="0004747F">
        <w:rPr>
          <w:bCs/>
          <w:sz w:val="20"/>
        </w:rPr>
        <w:t>SystemInformation</w:t>
      </w:r>
      <w:proofErr w:type="spellEnd"/>
      <w:r w:rsidRPr="0004747F">
        <w:rPr>
          <w:bCs/>
          <w:sz w:val="20"/>
        </w:rPr>
        <w:t xml:space="preserve"> (most likely a new SIB in the MBS control information block, or an extension to an existing SIB). Example definition:</w:t>
      </w:r>
    </w:p>
    <w:p w14:paraId="407EA371" w14:textId="77777777" w:rsidR="0004747F" w:rsidRPr="00B075A6" w:rsidRDefault="0004747F" w:rsidP="00B075A6">
      <w:pPr>
        <w:pBdr>
          <w:top w:val="single" w:sz="4" w:space="1" w:color="auto"/>
          <w:left w:val="single" w:sz="4" w:space="4" w:color="auto"/>
          <w:bottom w:val="single" w:sz="4" w:space="1" w:color="auto"/>
          <w:right w:val="single" w:sz="4" w:space="4" w:color="auto"/>
        </w:pBdr>
        <w:spacing w:before="100" w:beforeAutospacing="1" w:after="100" w:afterAutospacing="1"/>
        <w:rPr>
          <w:bCs/>
          <w:i/>
          <w:sz w:val="20"/>
        </w:rPr>
      </w:pPr>
      <w:r w:rsidRPr="00B075A6">
        <w:rPr>
          <w:bCs/>
          <w:i/>
          <w:sz w:val="20"/>
        </w:rPr>
        <w:t>MBS-</w:t>
      </w:r>
      <w:proofErr w:type="spellStart"/>
      <w:proofErr w:type="gramStart"/>
      <w:r w:rsidRPr="00B075A6">
        <w:rPr>
          <w:bCs/>
          <w:i/>
          <w:sz w:val="20"/>
        </w:rPr>
        <w:t>GeographicServiceArea</w:t>
      </w:r>
      <w:proofErr w:type="spellEnd"/>
      <w:r w:rsidRPr="00B075A6">
        <w:rPr>
          <w:bCs/>
          <w:i/>
          <w:sz w:val="20"/>
        </w:rPr>
        <w:t xml:space="preserve"> ::=</w:t>
      </w:r>
      <w:proofErr w:type="gramEnd"/>
      <w:r w:rsidRPr="00B075A6">
        <w:rPr>
          <w:bCs/>
          <w:i/>
          <w:sz w:val="20"/>
        </w:rPr>
        <w:t xml:space="preserve"> OCTET STRING (SIZE(1..maxGeoLength)) </w:t>
      </w:r>
    </w:p>
    <w:p w14:paraId="15846DE1" w14:textId="5550ED4E" w:rsidR="0004747F" w:rsidRPr="0004747F" w:rsidRDefault="0004747F" w:rsidP="00B075A6">
      <w:pPr>
        <w:pBdr>
          <w:top w:val="single" w:sz="4" w:space="1" w:color="auto"/>
          <w:left w:val="single" w:sz="4" w:space="4" w:color="auto"/>
          <w:bottom w:val="single" w:sz="4" w:space="1" w:color="auto"/>
          <w:right w:val="single" w:sz="4" w:space="4" w:color="auto"/>
        </w:pBdr>
        <w:spacing w:before="100" w:beforeAutospacing="1" w:after="100" w:afterAutospacing="1"/>
        <w:rPr>
          <w:bCs/>
          <w:i/>
          <w:sz w:val="20"/>
        </w:rPr>
      </w:pPr>
      <w:r w:rsidRPr="00B075A6">
        <w:rPr>
          <w:bCs/>
          <w:i/>
          <w:sz w:val="20"/>
        </w:rPr>
        <w:t xml:space="preserve">    -- Geographic service area of the MBS broadcast, encoded per TS 23.032.</w:t>
      </w:r>
    </w:p>
    <w:p w14:paraId="5665AC87" w14:textId="15988F76" w:rsidR="0004747F" w:rsidRPr="00B075A6" w:rsidRDefault="0004747F" w:rsidP="00B075A6">
      <w:pPr>
        <w:spacing w:before="100" w:beforeAutospacing="1" w:after="100" w:afterAutospacing="1"/>
        <w:rPr>
          <w:bCs/>
          <w:sz w:val="20"/>
        </w:rPr>
      </w:pPr>
    </w:p>
    <w:p w14:paraId="6DD46E43" w14:textId="77777777" w:rsidR="0004747F" w:rsidRPr="00B075A6" w:rsidRDefault="0004747F" w:rsidP="0004747F">
      <w:pPr>
        <w:spacing w:before="100" w:beforeAutospacing="1" w:after="100" w:afterAutospacing="1"/>
        <w:rPr>
          <w:bCs/>
          <w:sz w:val="20"/>
        </w:rPr>
      </w:pPr>
      <w:r w:rsidRPr="00B075A6">
        <w:rPr>
          <w:bCs/>
          <w:sz w:val="20"/>
        </w:rPr>
        <w:t xml:space="preserve">If needed, the IE could be a </w:t>
      </w:r>
      <w:r w:rsidRPr="00B075A6">
        <w:rPr>
          <w:sz w:val="20"/>
        </w:rPr>
        <w:t>sequence of areas</w:t>
      </w:r>
      <w:r w:rsidRPr="00B075A6">
        <w:rPr>
          <w:bCs/>
          <w:sz w:val="20"/>
        </w:rPr>
        <w:t xml:space="preserve"> (to support multiple disjoint polygons or shapes). However, for simplicity and efficiency, one could limit it to a single contiguous area description per service or per broadcast session. If a broadcast needs multiple separate regions, multiple instances of the IE (one per region) might be signaled or the shape could be defined as a multi-part polygon.</w:t>
      </w:r>
    </w:p>
    <w:p w14:paraId="0996E2E0" w14:textId="77777777" w:rsidR="0004747F" w:rsidRPr="00B075A6" w:rsidRDefault="0004747F" w:rsidP="0004747F">
      <w:pPr>
        <w:spacing w:before="100" w:beforeAutospacing="1" w:after="100" w:afterAutospacing="1"/>
        <w:rPr>
          <w:bCs/>
          <w:sz w:val="20"/>
        </w:rPr>
      </w:pPr>
      <w:r w:rsidRPr="00B075A6">
        <w:rPr>
          <w:bCs/>
          <w:sz w:val="20"/>
        </w:rPr>
        <w:t>The RRC SIB carrying this IE would be transmitted on the MBS frequency (or associated MBS control channel) to all UEs. It may be included in the same SIB that announces the MBS session (for example, alongside the TMGI and frequency info for the broadcast). UEs capable of MBS would know to read this SIB (e.g. SIB22 or a new SIB specifically for MBS area info).</w:t>
      </w:r>
    </w:p>
    <w:p w14:paraId="7C8A5974" w14:textId="77777777" w:rsidR="0004747F" w:rsidRPr="00B075A6" w:rsidRDefault="0004747F" w:rsidP="00B075A6">
      <w:pPr>
        <w:spacing w:before="100" w:beforeAutospacing="1" w:after="100" w:afterAutospacing="1"/>
        <w:rPr>
          <w:b/>
          <w:bCs/>
          <w:sz w:val="20"/>
        </w:rPr>
      </w:pPr>
      <w:r w:rsidRPr="00B075A6">
        <w:rPr>
          <w:b/>
          <w:bCs/>
          <w:sz w:val="20"/>
        </w:rPr>
        <w:t>Signaling Flow for Proposal 1 (NGAP + SIB with Coordinates)</w:t>
      </w:r>
    </w:p>
    <w:p w14:paraId="6296AC2D" w14:textId="3105B5E4" w:rsidR="0004747F" w:rsidRPr="00B075A6" w:rsidRDefault="0004747F" w:rsidP="0004747F">
      <w:pPr>
        <w:spacing w:before="100" w:beforeAutospacing="1" w:after="100" w:afterAutospacing="1"/>
        <w:rPr>
          <w:bCs/>
          <w:sz w:val="20"/>
        </w:rPr>
      </w:pPr>
      <w:r w:rsidRPr="00B075A6">
        <w:rPr>
          <w:bCs/>
          <w:sz w:val="20"/>
        </w:rPr>
        <w:t xml:space="preserve">The end-to-end signaling flow for establishing a broadcast MBS session with geo-area signaling is illustrated below. This flow covers the communication from the Core Network to the NG-RAN (via NG control plane) and from NG-RAN to UEs (via system broadcast). For clarity, we assume the core’s MB-SMF/AMF initiates an MBS Session Start, and the </w:t>
      </w:r>
      <w:proofErr w:type="spellStart"/>
      <w:r w:rsidRPr="00B075A6">
        <w:rPr>
          <w:bCs/>
          <w:sz w:val="20"/>
        </w:rPr>
        <w:t>gNB</w:t>
      </w:r>
      <w:proofErr w:type="spellEnd"/>
      <w:r w:rsidRPr="00B075A6">
        <w:rPr>
          <w:bCs/>
          <w:sz w:val="20"/>
        </w:rPr>
        <w:t xml:space="preserve"> serves the cells in the region. The UE is initially camped on a cell that is (potentially) within the service area.</w:t>
      </w:r>
    </w:p>
    <w:p w14:paraId="431FABF8" w14:textId="48F4FF24" w:rsidR="0004747F" w:rsidRDefault="0004747F" w:rsidP="0004747F">
      <w:pPr>
        <w:spacing w:before="100" w:beforeAutospacing="1" w:after="100" w:afterAutospacing="1"/>
      </w:pPr>
      <w:r>
        <w:rPr>
          <w:noProof/>
        </w:rPr>
        <w:lastRenderedPageBreak/>
        <w:drawing>
          <wp:inline distT="0" distB="0" distL="0" distR="0" wp14:anchorId="79ECDA59" wp14:editId="33E57895">
            <wp:extent cx="5851525" cy="4286250"/>
            <wp:effectExtent l="0" t="0" r="0" b="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oposal.svg"/>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5851525" cy="4286250"/>
                    </a:xfrm>
                    <a:prstGeom prst="rect">
                      <a:avLst/>
                    </a:prstGeom>
                  </pic:spPr>
                </pic:pic>
              </a:graphicData>
            </a:graphic>
          </wp:inline>
        </w:drawing>
      </w:r>
    </w:p>
    <w:p w14:paraId="2846B178" w14:textId="77777777" w:rsidR="0004747F" w:rsidRPr="0004747F" w:rsidRDefault="0004747F" w:rsidP="0004747F">
      <w:pPr>
        <w:spacing w:before="100" w:beforeAutospacing="1" w:after="100" w:afterAutospacing="1"/>
        <w:rPr>
          <w:rFonts w:eastAsia="Times New Roman"/>
          <w:sz w:val="20"/>
          <w:szCs w:val="20"/>
          <w:lang w:val="en-IN" w:eastAsia="en-IN"/>
        </w:rPr>
      </w:pPr>
      <w:r w:rsidRPr="0004747F">
        <w:rPr>
          <w:rFonts w:eastAsia="Times New Roman"/>
          <w:sz w:val="20"/>
          <w:szCs w:val="20"/>
          <w:lang w:val="en-IN" w:eastAsia="en-IN"/>
        </w:rPr>
        <w:t>A few additional notes on this flow:</w:t>
      </w:r>
    </w:p>
    <w:p w14:paraId="3B1311F3" w14:textId="77777777" w:rsidR="0004747F" w:rsidRPr="0004747F" w:rsidRDefault="0004747F" w:rsidP="0004747F">
      <w:pPr>
        <w:numPr>
          <w:ilvl w:val="0"/>
          <w:numId w:val="41"/>
        </w:numPr>
        <w:spacing w:before="100" w:beforeAutospacing="1" w:after="100" w:afterAutospacing="1"/>
        <w:rPr>
          <w:rFonts w:eastAsia="Times New Roman"/>
          <w:sz w:val="20"/>
          <w:szCs w:val="20"/>
          <w:lang w:val="en-IN" w:eastAsia="en-IN"/>
        </w:rPr>
      </w:pPr>
      <w:r w:rsidRPr="0004747F">
        <w:rPr>
          <w:rFonts w:eastAsia="Times New Roman"/>
          <w:sz w:val="20"/>
          <w:szCs w:val="20"/>
          <w:lang w:val="en-IN" w:eastAsia="en-IN"/>
        </w:rPr>
        <w:t xml:space="preserve">The NGAP message in step 2 may be sent to multiple </w:t>
      </w:r>
      <w:proofErr w:type="spellStart"/>
      <w:r w:rsidRPr="0004747F">
        <w:rPr>
          <w:rFonts w:eastAsia="Times New Roman"/>
          <w:sz w:val="20"/>
          <w:szCs w:val="20"/>
          <w:lang w:val="en-IN" w:eastAsia="en-IN"/>
        </w:rPr>
        <w:t>gNBs</w:t>
      </w:r>
      <w:proofErr w:type="spellEnd"/>
      <w:r w:rsidRPr="0004747F">
        <w:rPr>
          <w:rFonts w:eastAsia="Times New Roman"/>
          <w:sz w:val="20"/>
          <w:szCs w:val="20"/>
          <w:lang w:val="en-IN" w:eastAsia="en-IN"/>
        </w:rPr>
        <w:t xml:space="preserve"> if the service area spans multiple </w:t>
      </w:r>
      <w:proofErr w:type="spellStart"/>
      <w:r w:rsidRPr="0004747F">
        <w:rPr>
          <w:rFonts w:eastAsia="Times New Roman"/>
          <w:sz w:val="20"/>
          <w:szCs w:val="20"/>
          <w:lang w:val="en-IN" w:eastAsia="en-IN"/>
        </w:rPr>
        <w:t>gNB</w:t>
      </w:r>
      <w:proofErr w:type="spellEnd"/>
      <w:r w:rsidRPr="0004747F">
        <w:rPr>
          <w:rFonts w:eastAsia="Times New Roman"/>
          <w:sz w:val="20"/>
          <w:szCs w:val="20"/>
          <w:lang w:val="en-IN" w:eastAsia="en-IN"/>
        </w:rPr>
        <w:t xml:space="preserve"> footprints. In an NTN scenario with regenerative payload (</w:t>
      </w:r>
      <w:proofErr w:type="spellStart"/>
      <w:r w:rsidRPr="0004747F">
        <w:rPr>
          <w:rFonts w:eastAsia="Times New Roman"/>
          <w:sz w:val="20"/>
          <w:szCs w:val="20"/>
          <w:lang w:val="en-IN" w:eastAsia="en-IN"/>
        </w:rPr>
        <w:t>gNB</w:t>
      </w:r>
      <w:proofErr w:type="spellEnd"/>
      <w:r w:rsidRPr="0004747F">
        <w:rPr>
          <w:rFonts w:eastAsia="Times New Roman"/>
          <w:sz w:val="20"/>
          <w:szCs w:val="20"/>
          <w:lang w:val="en-IN" w:eastAsia="en-IN"/>
        </w:rPr>
        <w:t xml:space="preserve"> on satellite) covering a huge area, it might be a single </w:t>
      </w:r>
      <w:proofErr w:type="spellStart"/>
      <w:r w:rsidRPr="0004747F">
        <w:rPr>
          <w:rFonts w:eastAsia="Times New Roman"/>
          <w:sz w:val="20"/>
          <w:szCs w:val="20"/>
          <w:lang w:val="en-IN" w:eastAsia="en-IN"/>
        </w:rPr>
        <w:t>gNB</w:t>
      </w:r>
      <w:proofErr w:type="spellEnd"/>
      <w:r w:rsidRPr="0004747F">
        <w:rPr>
          <w:rFonts w:eastAsia="Times New Roman"/>
          <w:sz w:val="20"/>
          <w:szCs w:val="20"/>
          <w:lang w:val="en-IN" w:eastAsia="en-IN"/>
        </w:rPr>
        <w:t xml:space="preserve"> that handles many beams. In a terrestrial scenario, it could be multiple </w:t>
      </w:r>
      <w:proofErr w:type="spellStart"/>
      <w:r w:rsidRPr="0004747F">
        <w:rPr>
          <w:rFonts w:eastAsia="Times New Roman"/>
          <w:sz w:val="20"/>
          <w:szCs w:val="20"/>
          <w:lang w:val="en-IN" w:eastAsia="en-IN"/>
        </w:rPr>
        <w:t>gNBs</w:t>
      </w:r>
      <w:proofErr w:type="spellEnd"/>
      <w:r w:rsidRPr="0004747F">
        <w:rPr>
          <w:rFonts w:eastAsia="Times New Roman"/>
          <w:sz w:val="20"/>
          <w:szCs w:val="20"/>
          <w:lang w:val="en-IN" w:eastAsia="en-IN"/>
        </w:rPr>
        <w:t xml:space="preserve"> each handling their cells in the region. Each </w:t>
      </w:r>
      <w:proofErr w:type="spellStart"/>
      <w:r w:rsidRPr="0004747F">
        <w:rPr>
          <w:rFonts w:eastAsia="Times New Roman"/>
          <w:sz w:val="20"/>
          <w:szCs w:val="20"/>
          <w:lang w:val="en-IN" w:eastAsia="en-IN"/>
        </w:rPr>
        <w:t>gNB</w:t>
      </w:r>
      <w:proofErr w:type="spellEnd"/>
      <w:r w:rsidRPr="0004747F">
        <w:rPr>
          <w:rFonts w:eastAsia="Times New Roman"/>
          <w:sz w:val="20"/>
          <w:szCs w:val="20"/>
          <w:lang w:val="en-IN" w:eastAsia="en-IN"/>
        </w:rPr>
        <w:t xml:space="preserve"> that is instructed to broadcast will receive the same coordinate description and include it in its SIB.</w:t>
      </w:r>
    </w:p>
    <w:p w14:paraId="65A46A72" w14:textId="77777777" w:rsidR="0004747F" w:rsidRPr="0004747F" w:rsidRDefault="0004747F" w:rsidP="0004747F">
      <w:pPr>
        <w:numPr>
          <w:ilvl w:val="0"/>
          <w:numId w:val="41"/>
        </w:numPr>
        <w:spacing w:before="100" w:beforeAutospacing="1" w:after="100" w:afterAutospacing="1"/>
        <w:rPr>
          <w:rFonts w:eastAsia="Times New Roman"/>
          <w:sz w:val="20"/>
          <w:szCs w:val="20"/>
          <w:lang w:val="en-IN" w:eastAsia="en-IN"/>
        </w:rPr>
      </w:pPr>
      <w:r w:rsidRPr="0004747F">
        <w:rPr>
          <w:rFonts w:eastAsia="Times New Roman"/>
          <w:sz w:val="20"/>
          <w:szCs w:val="20"/>
          <w:lang w:val="en-IN" w:eastAsia="en-IN"/>
        </w:rPr>
        <w:t>The System Information (step 4) might be a dedicated MBS announcement SIB. In Rel-17, for instance, SIB21/SIB22 carry MBS frequency and area IDs; a new SIB (or an extension) could carry the actual coordinates. The update can occur when the session starts, and potentially be repeated periodically in the broadcast control cycle (like MCCH scheduling).</w:t>
      </w:r>
    </w:p>
    <w:p w14:paraId="6F948914" w14:textId="77777777" w:rsidR="0004747F" w:rsidRPr="0004747F" w:rsidRDefault="0004747F" w:rsidP="0004747F">
      <w:pPr>
        <w:numPr>
          <w:ilvl w:val="0"/>
          <w:numId w:val="41"/>
        </w:numPr>
        <w:spacing w:before="100" w:beforeAutospacing="1" w:after="100" w:afterAutospacing="1"/>
        <w:rPr>
          <w:rFonts w:eastAsia="Times New Roman"/>
          <w:sz w:val="20"/>
          <w:szCs w:val="20"/>
          <w:lang w:val="en-IN" w:eastAsia="en-IN"/>
        </w:rPr>
      </w:pPr>
      <w:r w:rsidRPr="0004747F">
        <w:rPr>
          <w:rFonts w:eastAsia="Times New Roman"/>
          <w:sz w:val="20"/>
          <w:szCs w:val="20"/>
          <w:lang w:val="en-IN" w:eastAsia="en-IN"/>
        </w:rPr>
        <w:t>UEs that cannot determine their location (e.g., GNSS unavailable) can still receive the broadcast, but they might not be able to ascertain if they are inside the area. In such cases, the UE might default to assuming it is eligible (since the cell is broadcasting it). This is a corner case – since for NTN we assume GNSS, and for terrestrial local MBS, often the region is small enough that approximate knowledge (e.g., knowing city or tracking area) might be available via other means.</w:t>
      </w:r>
    </w:p>
    <w:p w14:paraId="18C4623C" w14:textId="3A70A67F" w:rsidR="0004747F" w:rsidRDefault="0004747F" w:rsidP="0004747F">
      <w:pPr>
        <w:pStyle w:val="Heading2"/>
      </w:pPr>
      <w:r w:rsidRPr="0004747F">
        <w:t>Proposal 2: Mapped Cell ID or Tracking Area List Signaling</w:t>
      </w:r>
    </w:p>
    <w:p w14:paraId="31193084" w14:textId="77777777" w:rsidR="00B075A6" w:rsidRPr="00B075A6" w:rsidRDefault="00B075A6" w:rsidP="00B075A6">
      <w:pPr>
        <w:spacing w:before="100" w:beforeAutospacing="1" w:after="100" w:afterAutospacing="1"/>
        <w:rPr>
          <w:sz w:val="20"/>
          <w:szCs w:val="20"/>
          <w:lang w:val="en-IN" w:eastAsia="en-IN"/>
        </w:rPr>
      </w:pPr>
      <w:r w:rsidRPr="00B075A6">
        <w:rPr>
          <w:rStyle w:val="Strong"/>
          <w:sz w:val="20"/>
          <w:szCs w:val="20"/>
        </w:rPr>
        <w:t>Overview:</w:t>
      </w:r>
      <w:r w:rsidRPr="00B075A6">
        <w:rPr>
          <w:sz w:val="20"/>
          <w:szCs w:val="20"/>
        </w:rPr>
        <w:t xml:space="preserve"> This proposal uses a more traditional approach: signal the service area as a list of identifiers corresponding to existing network coverage units. Two variants can be considered:</w:t>
      </w:r>
    </w:p>
    <w:p w14:paraId="2E6709C7" w14:textId="77777777" w:rsidR="00B075A6" w:rsidRPr="00B075A6" w:rsidRDefault="00B075A6" w:rsidP="00B075A6">
      <w:pPr>
        <w:numPr>
          <w:ilvl w:val="0"/>
          <w:numId w:val="42"/>
        </w:numPr>
        <w:spacing w:before="100" w:beforeAutospacing="1" w:after="100" w:afterAutospacing="1"/>
        <w:rPr>
          <w:sz w:val="20"/>
          <w:szCs w:val="20"/>
        </w:rPr>
      </w:pPr>
      <w:r w:rsidRPr="00B075A6">
        <w:rPr>
          <w:rStyle w:val="Strong"/>
          <w:sz w:val="20"/>
          <w:szCs w:val="20"/>
        </w:rPr>
        <w:t>Cell ID list:</w:t>
      </w:r>
      <w:r w:rsidRPr="00B075A6">
        <w:rPr>
          <w:sz w:val="20"/>
          <w:szCs w:val="20"/>
        </w:rPr>
        <w:t xml:space="preserve"> a list of NR Cell Global Identifiers (CGIs) or perhaps a range/pattern of cell IDs, enumerating every cell that is part of the broadcast area.</w:t>
      </w:r>
    </w:p>
    <w:p w14:paraId="41EED842" w14:textId="77777777" w:rsidR="00B075A6" w:rsidRPr="00B075A6" w:rsidRDefault="00B075A6" w:rsidP="00B075A6">
      <w:pPr>
        <w:numPr>
          <w:ilvl w:val="0"/>
          <w:numId w:val="42"/>
        </w:numPr>
        <w:spacing w:before="100" w:beforeAutospacing="1" w:after="100" w:afterAutospacing="1"/>
        <w:rPr>
          <w:sz w:val="20"/>
          <w:szCs w:val="20"/>
        </w:rPr>
      </w:pPr>
      <w:r w:rsidRPr="00B075A6">
        <w:rPr>
          <w:rStyle w:val="Strong"/>
          <w:sz w:val="20"/>
          <w:szCs w:val="20"/>
        </w:rPr>
        <w:t>Tracking Area Identifier (TAI) list:</w:t>
      </w:r>
      <w:r w:rsidRPr="00B075A6">
        <w:rPr>
          <w:sz w:val="20"/>
          <w:szCs w:val="20"/>
        </w:rPr>
        <w:t xml:space="preserve"> a list of tracking area codes (and possibly PLMN if needed) such that any cell belonging to one of these TAIs is considered within the service area.</w:t>
      </w:r>
    </w:p>
    <w:p w14:paraId="0695DCD8" w14:textId="27F65333" w:rsidR="00B075A6" w:rsidRPr="00B075A6" w:rsidRDefault="00B075A6" w:rsidP="00B075A6">
      <w:pPr>
        <w:spacing w:before="100" w:beforeAutospacing="1" w:after="100" w:afterAutospacing="1"/>
        <w:rPr>
          <w:sz w:val="20"/>
          <w:szCs w:val="20"/>
        </w:rPr>
      </w:pPr>
      <w:r w:rsidRPr="00B075A6">
        <w:rPr>
          <w:sz w:val="20"/>
          <w:szCs w:val="20"/>
        </w:rPr>
        <w:lastRenderedPageBreak/>
        <w:t xml:space="preserve">The idea is that the UE will compare its serving cell (or TA) against the list. If there is a match, the UE knows it is in the service area; if not, the service is not intended for that UE’s area. This is conceptually similar to LTE’s SAI or the concept of “MBMS service areas” used historically. It aligns with the stage-2 description where </w:t>
      </w:r>
      <w:r w:rsidRPr="00B075A6">
        <w:rPr>
          <w:rStyle w:val="Emphasis"/>
          <w:sz w:val="20"/>
          <w:szCs w:val="20"/>
        </w:rPr>
        <w:t xml:space="preserve">“an MBS service area is identified by a cell list or a tracking area </w:t>
      </w:r>
      <w:proofErr w:type="gramStart"/>
      <w:r w:rsidRPr="00B075A6">
        <w:rPr>
          <w:rStyle w:val="Emphasis"/>
          <w:sz w:val="20"/>
          <w:szCs w:val="20"/>
        </w:rPr>
        <w:t>list”</w:t>
      </w:r>
      <w:r w:rsidRPr="00B075A6">
        <w:rPr>
          <w:sz w:val="20"/>
          <w:szCs w:val="20"/>
        </w:rPr>
        <w:t>​</w:t>
      </w:r>
      <w:proofErr w:type="gramEnd"/>
      <w:r w:rsidRPr="00B075A6">
        <w:rPr>
          <w:sz w:val="20"/>
          <w:szCs w:val="20"/>
        </w:rPr>
        <w:t>. The core network, upon receiving a geographic target from an AF, would perform the translation (via NEF/MBSF) to derive this list of cells or TAIs​, ensuring consistency with actual deployment. The list is then distributed to RAN and UEs.</w:t>
      </w:r>
    </w:p>
    <w:p w14:paraId="3E45FDB8" w14:textId="77777777" w:rsidR="00B075A6" w:rsidRPr="00B075A6" w:rsidRDefault="00B075A6" w:rsidP="00B075A6">
      <w:pPr>
        <w:pStyle w:val="Caption"/>
      </w:pPr>
      <w:r w:rsidRPr="00B075A6">
        <w:t>ASN.1 Information Element Definitions (Cell/TA List Approach)</w:t>
      </w:r>
    </w:p>
    <w:p w14:paraId="1E235EFA" w14:textId="77777777" w:rsidR="00B075A6" w:rsidRPr="00B075A6" w:rsidRDefault="00B075A6" w:rsidP="00B075A6">
      <w:pPr>
        <w:spacing w:before="100" w:beforeAutospacing="1" w:after="100" w:afterAutospacing="1"/>
        <w:rPr>
          <w:sz w:val="20"/>
          <w:szCs w:val="20"/>
        </w:rPr>
      </w:pPr>
      <w:r w:rsidRPr="00B075A6">
        <w:rPr>
          <w:sz w:val="20"/>
          <w:szCs w:val="20"/>
        </w:rPr>
        <w:t>We define new IEs for NGAP and RRC to carry the list of coverage identifiers. We can reuse or adapt existing list structures in NGAP/RRC for tracking areas or cells:</w:t>
      </w:r>
    </w:p>
    <w:p w14:paraId="4DFF5C36" w14:textId="77777777" w:rsidR="00B075A6" w:rsidRPr="00B075A6" w:rsidRDefault="00B075A6" w:rsidP="00B075A6">
      <w:pPr>
        <w:numPr>
          <w:ilvl w:val="0"/>
          <w:numId w:val="43"/>
        </w:numPr>
        <w:spacing w:before="100" w:beforeAutospacing="1" w:after="100" w:afterAutospacing="1"/>
        <w:rPr>
          <w:sz w:val="20"/>
          <w:szCs w:val="20"/>
        </w:rPr>
      </w:pPr>
      <w:r w:rsidRPr="00B075A6">
        <w:rPr>
          <w:rStyle w:val="Strong"/>
          <w:sz w:val="20"/>
          <w:szCs w:val="20"/>
        </w:rPr>
        <w:t>NGAP IEs:</w:t>
      </w:r>
    </w:p>
    <w:p w14:paraId="588150B8" w14:textId="77777777" w:rsidR="00B075A6" w:rsidRPr="00B075A6" w:rsidRDefault="00B075A6" w:rsidP="00B075A6">
      <w:pPr>
        <w:numPr>
          <w:ilvl w:val="1"/>
          <w:numId w:val="43"/>
        </w:numPr>
        <w:spacing w:before="100" w:beforeAutospacing="1" w:after="100" w:afterAutospacing="1"/>
        <w:rPr>
          <w:sz w:val="20"/>
          <w:szCs w:val="20"/>
        </w:rPr>
      </w:pPr>
      <w:proofErr w:type="spellStart"/>
      <w:r w:rsidRPr="00B075A6">
        <w:rPr>
          <w:rStyle w:val="HTMLCode"/>
          <w:rFonts w:ascii="Times New Roman" w:eastAsia="MS Mincho" w:hAnsi="Times New Roman" w:cs="Times New Roman"/>
        </w:rPr>
        <w:t>BroadcastServiceAreaTAList</w:t>
      </w:r>
      <w:proofErr w:type="spellEnd"/>
      <w:r w:rsidRPr="00B075A6">
        <w:rPr>
          <w:sz w:val="20"/>
          <w:szCs w:val="20"/>
        </w:rPr>
        <w:t xml:space="preserve"> – could be of type </w:t>
      </w:r>
      <w:proofErr w:type="spellStart"/>
      <w:r w:rsidRPr="00B075A6">
        <w:rPr>
          <w:rStyle w:val="Emphasis"/>
          <w:sz w:val="20"/>
          <w:szCs w:val="20"/>
        </w:rPr>
        <w:t>TAIList</w:t>
      </w:r>
      <w:proofErr w:type="spellEnd"/>
      <w:r w:rsidRPr="00B075A6">
        <w:rPr>
          <w:sz w:val="20"/>
          <w:szCs w:val="20"/>
        </w:rPr>
        <w:t xml:space="preserve"> as already used in NGAP for other purposes (e.g., location reporting). This would contain one or more TAIs (each TAI = PLMN ID + TAC) indicating the tracking areas that compose the service area.</w:t>
      </w:r>
    </w:p>
    <w:p w14:paraId="7479347D" w14:textId="2AF2B2E9" w:rsidR="00B075A6" w:rsidRPr="00B075A6" w:rsidRDefault="00B075A6" w:rsidP="005045DB">
      <w:pPr>
        <w:numPr>
          <w:ilvl w:val="1"/>
          <w:numId w:val="43"/>
        </w:numPr>
        <w:spacing w:before="100" w:beforeAutospacing="1" w:after="100" w:afterAutospacing="1"/>
        <w:rPr>
          <w:sz w:val="20"/>
          <w:szCs w:val="20"/>
        </w:rPr>
      </w:pPr>
      <w:proofErr w:type="spellStart"/>
      <w:r w:rsidRPr="00B075A6">
        <w:rPr>
          <w:rStyle w:val="HTMLCode"/>
          <w:rFonts w:ascii="Times New Roman" w:eastAsia="MS Mincho" w:hAnsi="Times New Roman" w:cs="Times New Roman"/>
        </w:rPr>
        <w:t>BroadcastServiceCellList</w:t>
      </w:r>
      <w:proofErr w:type="spellEnd"/>
      <w:r w:rsidRPr="00B075A6">
        <w:rPr>
          <w:sz w:val="20"/>
          <w:szCs w:val="20"/>
        </w:rPr>
        <w:t xml:space="preserve"> – if needed, a list of Cell Global IDs (each CGI = PLMN + NR Cell ID). NGAP does not commonly send raw cell lists to </w:t>
      </w:r>
      <w:proofErr w:type="spellStart"/>
      <w:r w:rsidRPr="00B075A6">
        <w:rPr>
          <w:sz w:val="20"/>
          <w:szCs w:val="20"/>
        </w:rPr>
        <w:t>gNB</w:t>
      </w:r>
      <w:proofErr w:type="spellEnd"/>
      <w:r w:rsidRPr="00B075A6">
        <w:rPr>
          <w:sz w:val="20"/>
          <w:szCs w:val="20"/>
        </w:rPr>
        <w:t xml:space="preserve"> (since </w:t>
      </w:r>
      <w:proofErr w:type="spellStart"/>
      <w:r w:rsidRPr="00B075A6">
        <w:rPr>
          <w:sz w:val="20"/>
          <w:szCs w:val="20"/>
        </w:rPr>
        <w:t>gNB</w:t>
      </w:r>
      <w:proofErr w:type="spellEnd"/>
      <w:r w:rsidRPr="00B075A6">
        <w:rPr>
          <w:sz w:val="20"/>
          <w:szCs w:val="20"/>
        </w:rPr>
        <w:t xml:space="preserve"> by definition serves certain cells), so more likely the NGAP would use TAIs to target the message to relevant </w:t>
      </w:r>
      <w:proofErr w:type="spellStart"/>
      <w:r w:rsidRPr="00B075A6">
        <w:rPr>
          <w:sz w:val="20"/>
          <w:szCs w:val="20"/>
        </w:rPr>
        <w:t>gNBs</w:t>
      </w:r>
      <w:proofErr w:type="spellEnd"/>
      <w:r w:rsidRPr="00B075A6">
        <w:rPr>
          <w:sz w:val="20"/>
          <w:szCs w:val="20"/>
        </w:rPr>
        <w:t xml:space="preserve">. In practice, the AMF could send the MBS Session Start to all </w:t>
      </w:r>
      <w:proofErr w:type="spellStart"/>
      <w:r w:rsidRPr="00B075A6">
        <w:rPr>
          <w:sz w:val="20"/>
          <w:szCs w:val="20"/>
        </w:rPr>
        <w:t>gNBs</w:t>
      </w:r>
      <w:proofErr w:type="spellEnd"/>
      <w:r w:rsidRPr="00B075A6">
        <w:rPr>
          <w:sz w:val="20"/>
          <w:szCs w:val="20"/>
        </w:rPr>
        <w:t xml:space="preserve"> serving those TAIs​. Thus, an explicit cell list in NGAP might be optional. We may assume TA list suffices for NGAP addressing.</w:t>
      </w:r>
    </w:p>
    <w:p w14:paraId="68DF895B" w14:textId="77777777" w:rsidR="00B075A6" w:rsidRPr="00B075A6" w:rsidRDefault="00B075A6" w:rsidP="00B075A6">
      <w:pPr>
        <w:numPr>
          <w:ilvl w:val="0"/>
          <w:numId w:val="43"/>
        </w:numPr>
        <w:spacing w:before="100" w:beforeAutospacing="1" w:after="100" w:afterAutospacing="1"/>
        <w:rPr>
          <w:sz w:val="20"/>
          <w:szCs w:val="20"/>
        </w:rPr>
      </w:pPr>
      <w:r w:rsidRPr="00B075A6">
        <w:rPr>
          <w:rStyle w:val="Strong"/>
          <w:sz w:val="20"/>
          <w:szCs w:val="20"/>
        </w:rPr>
        <w:t>RRC IE:</w:t>
      </w:r>
      <w:r w:rsidRPr="00B075A6">
        <w:rPr>
          <w:sz w:val="20"/>
          <w:szCs w:val="20"/>
        </w:rPr>
        <w:t xml:space="preserve"> We introduce, for example, </w:t>
      </w:r>
      <w:r w:rsidRPr="00B075A6">
        <w:rPr>
          <w:rStyle w:val="HTMLCode"/>
          <w:rFonts w:ascii="Times New Roman" w:eastAsia="MS Mincho" w:hAnsi="Times New Roman" w:cs="Times New Roman"/>
        </w:rPr>
        <w:t>MBS-</w:t>
      </w:r>
      <w:proofErr w:type="spellStart"/>
      <w:r w:rsidRPr="00B075A6">
        <w:rPr>
          <w:rStyle w:val="HTMLCode"/>
          <w:rFonts w:ascii="Times New Roman" w:eastAsia="MS Mincho" w:hAnsi="Times New Roman" w:cs="Times New Roman"/>
        </w:rPr>
        <w:t>ServiceAreaList</w:t>
      </w:r>
      <w:proofErr w:type="spellEnd"/>
      <w:r w:rsidRPr="00B075A6">
        <w:rPr>
          <w:sz w:val="20"/>
          <w:szCs w:val="20"/>
        </w:rPr>
        <w:t xml:space="preserve"> as part of the MBS information SIB:</w:t>
      </w:r>
    </w:p>
    <w:p w14:paraId="61E4D492" w14:textId="77777777" w:rsidR="00B075A6" w:rsidRPr="00B075A6" w:rsidRDefault="00B075A6" w:rsidP="00B075A6">
      <w:pPr>
        <w:pBdr>
          <w:top w:val="single" w:sz="4" w:space="1" w:color="auto"/>
          <w:left w:val="single" w:sz="4" w:space="4" w:color="auto"/>
          <w:bottom w:val="single" w:sz="4" w:space="1" w:color="auto"/>
          <w:right w:val="single" w:sz="4" w:space="4" w:color="auto"/>
        </w:pBdr>
        <w:rPr>
          <w:i/>
          <w:sz w:val="20"/>
          <w:szCs w:val="20"/>
        </w:rPr>
      </w:pPr>
      <w:r w:rsidRPr="00B075A6">
        <w:rPr>
          <w:i/>
          <w:sz w:val="20"/>
          <w:szCs w:val="20"/>
        </w:rPr>
        <w:t>MBS-</w:t>
      </w:r>
      <w:proofErr w:type="spellStart"/>
      <w:proofErr w:type="gramStart"/>
      <w:r w:rsidRPr="00B075A6">
        <w:rPr>
          <w:i/>
          <w:sz w:val="20"/>
          <w:szCs w:val="20"/>
        </w:rPr>
        <w:t>ServiceAreaList</w:t>
      </w:r>
      <w:proofErr w:type="spellEnd"/>
      <w:r w:rsidRPr="00B075A6">
        <w:rPr>
          <w:i/>
          <w:sz w:val="20"/>
          <w:szCs w:val="20"/>
        </w:rPr>
        <w:t xml:space="preserve"> ::=</w:t>
      </w:r>
      <w:proofErr w:type="gramEnd"/>
      <w:r w:rsidRPr="00B075A6">
        <w:rPr>
          <w:i/>
          <w:sz w:val="20"/>
          <w:szCs w:val="20"/>
        </w:rPr>
        <w:t xml:space="preserve"> SEQUENCE {</w:t>
      </w:r>
    </w:p>
    <w:p w14:paraId="22BBE2C5" w14:textId="77777777" w:rsidR="00B075A6" w:rsidRPr="00B075A6" w:rsidRDefault="00B075A6" w:rsidP="00B075A6">
      <w:pPr>
        <w:pBdr>
          <w:top w:val="single" w:sz="4" w:space="1" w:color="auto"/>
          <w:left w:val="single" w:sz="4" w:space="4" w:color="auto"/>
          <w:bottom w:val="single" w:sz="4" w:space="1" w:color="auto"/>
          <w:right w:val="single" w:sz="4" w:space="4" w:color="auto"/>
        </w:pBdr>
        <w:rPr>
          <w:i/>
          <w:sz w:val="20"/>
          <w:szCs w:val="20"/>
        </w:rPr>
      </w:pPr>
      <w:r w:rsidRPr="00B075A6">
        <w:rPr>
          <w:i/>
          <w:sz w:val="20"/>
          <w:szCs w:val="20"/>
        </w:rPr>
        <w:t xml:space="preserve">    </w:t>
      </w:r>
      <w:proofErr w:type="spellStart"/>
      <w:r w:rsidRPr="00B075A6">
        <w:rPr>
          <w:i/>
          <w:sz w:val="20"/>
          <w:szCs w:val="20"/>
        </w:rPr>
        <w:t>trackingAreas</w:t>
      </w:r>
      <w:proofErr w:type="spellEnd"/>
      <w:r w:rsidRPr="00B075A6">
        <w:rPr>
          <w:i/>
          <w:sz w:val="20"/>
          <w:szCs w:val="20"/>
        </w:rPr>
        <w:t xml:space="preserve">    </w:t>
      </w:r>
      <w:proofErr w:type="spellStart"/>
      <w:r w:rsidRPr="00B075A6">
        <w:rPr>
          <w:i/>
          <w:sz w:val="20"/>
          <w:szCs w:val="20"/>
        </w:rPr>
        <w:t>TrackingAreaCodeList</w:t>
      </w:r>
      <w:proofErr w:type="spellEnd"/>
      <w:r w:rsidRPr="00B075A6">
        <w:rPr>
          <w:i/>
          <w:sz w:val="20"/>
          <w:szCs w:val="20"/>
        </w:rPr>
        <w:t xml:space="preserve"> OPTIONAL, </w:t>
      </w:r>
    </w:p>
    <w:p w14:paraId="1CF77177" w14:textId="77777777" w:rsidR="00B075A6" w:rsidRPr="00B075A6" w:rsidRDefault="00B075A6" w:rsidP="00B075A6">
      <w:pPr>
        <w:pBdr>
          <w:top w:val="single" w:sz="4" w:space="1" w:color="auto"/>
          <w:left w:val="single" w:sz="4" w:space="4" w:color="auto"/>
          <w:bottom w:val="single" w:sz="4" w:space="1" w:color="auto"/>
          <w:right w:val="single" w:sz="4" w:space="4" w:color="auto"/>
        </w:pBdr>
        <w:rPr>
          <w:i/>
          <w:sz w:val="20"/>
          <w:szCs w:val="20"/>
        </w:rPr>
      </w:pPr>
      <w:r w:rsidRPr="00B075A6">
        <w:rPr>
          <w:i/>
          <w:sz w:val="20"/>
          <w:szCs w:val="20"/>
        </w:rPr>
        <w:t xml:space="preserve">    </w:t>
      </w:r>
      <w:proofErr w:type="spellStart"/>
      <w:r w:rsidRPr="00B075A6">
        <w:rPr>
          <w:i/>
          <w:sz w:val="20"/>
          <w:szCs w:val="20"/>
        </w:rPr>
        <w:t>cellIdentities</w:t>
      </w:r>
      <w:proofErr w:type="spellEnd"/>
      <w:r w:rsidRPr="00B075A6">
        <w:rPr>
          <w:i/>
          <w:sz w:val="20"/>
          <w:szCs w:val="20"/>
        </w:rPr>
        <w:t xml:space="preserve">   </w:t>
      </w:r>
      <w:proofErr w:type="spellStart"/>
      <w:r w:rsidRPr="00B075A6">
        <w:rPr>
          <w:i/>
          <w:sz w:val="20"/>
          <w:szCs w:val="20"/>
        </w:rPr>
        <w:t>CellIdentityList</w:t>
      </w:r>
      <w:proofErr w:type="spellEnd"/>
      <w:r w:rsidRPr="00B075A6">
        <w:rPr>
          <w:i/>
          <w:sz w:val="20"/>
          <w:szCs w:val="20"/>
        </w:rPr>
        <w:t xml:space="preserve">     OPTIONAL</w:t>
      </w:r>
    </w:p>
    <w:p w14:paraId="5BC8AA29" w14:textId="77777777" w:rsidR="00B075A6" w:rsidRPr="00B075A6" w:rsidRDefault="00B075A6" w:rsidP="00B075A6">
      <w:pPr>
        <w:pBdr>
          <w:top w:val="single" w:sz="4" w:space="1" w:color="auto"/>
          <w:left w:val="single" w:sz="4" w:space="4" w:color="auto"/>
          <w:bottom w:val="single" w:sz="4" w:space="1" w:color="auto"/>
          <w:right w:val="single" w:sz="4" w:space="4" w:color="auto"/>
        </w:pBdr>
        <w:rPr>
          <w:i/>
          <w:sz w:val="20"/>
          <w:szCs w:val="20"/>
        </w:rPr>
      </w:pPr>
      <w:r w:rsidRPr="00B075A6">
        <w:rPr>
          <w:i/>
          <w:sz w:val="20"/>
          <w:szCs w:val="20"/>
        </w:rPr>
        <w:t>}</w:t>
      </w:r>
    </w:p>
    <w:p w14:paraId="3C34CF1F" w14:textId="77777777" w:rsidR="00B075A6" w:rsidRPr="00B075A6" w:rsidRDefault="00B075A6" w:rsidP="00B075A6">
      <w:pPr>
        <w:pBdr>
          <w:top w:val="single" w:sz="4" w:space="1" w:color="auto"/>
          <w:left w:val="single" w:sz="4" w:space="4" w:color="auto"/>
          <w:bottom w:val="single" w:sz="4" w:space="1" w:color="auto"/>
          <w:right w:val="single" w:sz="4" w:space="4" w:color="auto"/>
        </w:pBdr>
        <w:rPr>
          <w:i/>
          <w:sz w:val="20"/>
          <w:szCs w:val="20"/>
        </w:rPr>
      </w:pPr>
      <w:proofErr w:type="spellStart"/>
      <w:proofErr w:type="gramStart"/>
      <w:r w:rsidRPr="00B075A6">
        <w:rPr>
          <w:i/>
          <w:sz w:val="20"/>
          <w:szCs w:val="20"/>
        </w:rPr>
        <w:t>TrackingAreaCodeList</w:t>
      </w:r>
      <w:proofErr w:type="spellEnd"/>
      <w:r w:rsidRPr="00B075A6">
        <w:rPr>
          <w:i/>
          <w:sz w:val="20"/>
          <w:szCs w:val="20"/>
        </w:rPr>
        <w:t xml:space="preserve"> ::=</w:t>
      </w:r>
      <w:proofErr w:type="gramEnd"/>
      <w:r w:rsidRPr="00B075A6">
        <w:rPr>
          <w:i/>
          <w:sz w:val="20"/>
          <w:szCs w:val="20"/>
        </w:rPr>
        <w:t xml:space="preserve"> SEQUENCE (SIZE(1..maxNumTAs)) OF TAC</w:t>
      </w:r>
    </w:p>
    <w:p w14:paraId="0EB036F3" w14:textId="0F12D308" w:rsidR="00B075A6" w:rsidRPr="00B075A6" w:rsidRDefault="00B075A6" w:rsidP="00B075A6">
      <w:pPr>
        <w:pBdr>
          <w:top w:val="single" w:sz="4" w:space="1" w:color="auto"/>
          <w:left w:val="single" w:sz="4" w:space="4" w:color="auto"/>
          <w:bottom w:val="single" w:sz="4" w:space="1" w:color="auto"/>
          <w:right w:val="single" w:sz="4" w:space="4" w:color="auto"/>
        </w:pBdr>
        <w:rPr>
          <w:i/>
          <w:sz w:val="20"/>
          <w:szCs w:val="20"/>
        </w:rPr>
      </w:pPr>
      <w:proofErr w:type="spellStart"/>
      <w:proofErr w:type="gramStart"/>
      <w:r w:rsidRPr="00B075A6">
        <w:rPr>
          <w:i/>
          <w:sz w:val="20"/>
          <w:szCs w:val="20"/>
        </w:rPr>
        <w:t>CellIdentityList</w:t>
      </w:r>
      <w:proofErr w:type="spellEnd"/>
      <w:r w:rsidRPr="00B075A6">
        <w:rPr>
          <w:i/>
          <w:sz w:val="20"/>
          <w:szCs w:val="20"/>
        </w:rPr>
        <w:t xml:space="preserve"> ::=</w:t>
      </w:r>
      <w:proofErr w:type="gramEnd"/>
      <w:r w:rsidRPr="00B075A6">
        <w:rPr>
          <w:i/>
          <w:sz w:val="20"/>
          <w:szCs w:val="20"/>
        </w:rPr>
        <w:t xml:space="preserve"> SEQUENCE (SIZE(1..maxNumCells)) OF NR-CGI</w:t>
      </w:r>
    </w:p>
    <w:p w14:paraId="6036A116" w14:textId="2ACEB843" w:rsidR="00B075A6" w:rsidRPr="00B075A6" w:rsidRDefault="00B075A6" w:rsidP="00B075A6">
      <w:pPr>
        <w:rPr>
          <w:sz w:val="20"/>
          <w:szCs w:val="20"/>
        </w:rPr>
      </w:pPr>
    </w:p>
    <w:p w14:paraId="1941B192" w14:textId="77777777" w:rsidR="00B075A6" w:rsidRPr="00B075A6" w:rsidRDefault="00B075A6" w:rsidP="00B075A6">
      <w:pPr>
        <w:numPr>
          <w:ilvl w:val="0"/>
          <w:numId w:val="44"/>
        </w:numPr>
        <w:spacing w:before="100" w:beforeAutospacing="1" w:after="100" w:afterAutospacing="1"/>
        <w:rPr>
          <w:sz w:val="20"/>
          <w:szCs w:val="20"/>
          <w:lang w:val="en-IN" w:eastAsia="en-IN"/>
        </w:rPr>
      </w:pPr>
      <w:r w:rsidRPr="00B075A6">
        <w:rPr>
          <w:sz w:val="20"/>
          <w:szCs w:val="20"/>
        </w:rPr>
        <w:t>This IE allows flexibility to signal either a list of tracking areas or specific cell IDs, or a combination. In many cases, only one of the two would be used:</w:t>
      </w:r>
    </w:p>
    <w:p w14:paraId="0845E929" w14:textId="77777777" w:rsidR="00B075A6" w:rsidRPr="00B075A6" w:rsidRDefault="00B075A6" w:rsidP="00B075A6">
      <w:pPr>
        <w:numPr>
          <w:ilvl w:val="1"/>
          <w:numId w:val="44"/>
        </w:numPr>
        <w:spacing w:before="100" w:beforeAutospacing="1" w:after="100" w:afterAutospacing="1"/>
        <w:rPr>
          <w:sz w:val="20"/>
          <w:szCs w:val="20"/>
        </w:rPr>
      </w:pPr>
      <w:r w:rsidRPr="00B075A6">
        <w:rPr>
          <w:sz w:val="20"/>
          <w:szCs w:val="20"/>
        </w:rPr>
        <w:t>For a large contiguous region, a TAI list may be more compact (since each TA covers many cells). E.g., “TA 100, 101, 102” might cover a metro area.</w:t>
      </w:r>
    </w:p>
    <w:p w14:paraId="7D0E896E" w14:textId="77777777" w:rsidR="00B075A6" w:rsidRPr="00B075A6" w:rsidRDefault="00B075A6" w:rsidP="00B075A6">
      <w:pPr>
        <w:numPr>
          <w:ilvl w:val="1"/>
          <w:numId w:val="44"/>
        </w:numPr>
        <w:spacing w:before="100" w:beforeAutospacing="1" w:after="100" w:afterAutospacing="1"/>
        <w:rPr>
          <w:sz w:val="20"/>
          <w:szCs w:val="20"/>
        </w:rPr>
      </w:pPr>
      <w:r w:rsidRPr="00B075A6">
        <w:rPr>
          <w:sz w:val="20"/>
          <w:szCs w:val="20"/>
        </w:rPr>
        <w:t>For a very fine-grained or irregular area, enumerating cell IDs might be necessary (if it doesn’t align well with TAs).</w:t>
      </w:r>
    </w:p>
    <w:p w14:paraId="31BB425D" w14:textId="77777777" w:rsidR="00B075A6" w:rsidRPr="00B075A6" w:rsidRDefault="00B075A6" w:rsidP="00B075A6">
      <w:pPr>
        <w:spacing w:before="100" w:beforeAutospacing="1" w:after="100" w:afterAutospacing="1"/>
        <w:ind w:left="720"/>
        <w:rPr>
          <w:sz w:val="20"/>
          <w:szCs w:val="20"/>
        </w:rPr>
      </w:pPr>
      <w:r w:rsidRPr="00B075A6">
        <w:rPr>
          <w:sz w:val="20"/>
          <w:szCs w:val="20"/>
        </w:rPr>
        <w:t xml:space="preserve">The RRC SIB carrying this </w:t>
      </w:r>
      <w:r w:rsidRPr="00B075A6">
        <w:rPr>
          <w:rStyle w:val="HTMLCode"/>
          <w:rFonts w:ascii="Times New Roman" w:eastAsia="MS Mincho" w:hAnsi="Times New Roman" w:cs="Times New Roman"/>
        </w:rPr>
        <w:t>MBS-</w:t>
      </w:r>
      <w:proofErr w:type="spellStart"/>
      <w:r w:rsidRPr="00B075A6">
        <w:rPr>
          <w:rStyle w:val="HTMLCode"/>
          <w:rFonts w:ascii="Times New Roman" w:eastAsia="MS Mincho" w:hAnsi="Times New Roman" w:cs="Times New Roman"/>
        </w:rPr>
        <w:t>ServiceAreaList</w:t>
      </w:r>
      <w:proofErr w:type="spellEnd"/>
      <w:r w:rsidRPr="00B075A6">
        <w:rPr>
          <w:sz w:val="20"/>
          <w:szCs w:val="20"/>
        </w:rPr>
        <w:t xml:space="preserve"> would accompany the MBS session announcement. For example, if SIB22 (in Rel-17) carries MBS frequency and an FSAI, the new SIB (say SIB23 or an extension) could carry the explicit service area list for each active broadcast session. Each broadcast session might have its own list or an index tying it to an entry in a list. A possible design is to broadcast a mapping of </w:t>
      </w:r>
      <w:r w:rsidRPr="00B075A6">
        <w:rPr>
          <w:rStyle w:val="Emphasis"/>
          <w:sz w:val="20"/>
          <w:szCs w:val="20"/>
        </w:rPr>
        <w:t>MBS Session ID -&gt; Service Area list</w:t>
      </w:r>
      <w:r w:rsidRPr="00B075A6">
        <w:rPr>
          <w:sz w:val="20"/>
          <w:szCs w:val="20"/>
        </w:rPr>
        <w:t>.</w:t>
      </w:r>
    </w:p>
    <w:p w14:paraId="77EDB7EF" w14:textId="77777777" w:rsidR="00B075A6" w:rsidRPr="00B075A6" w:rsidRDefault="00B075A6" w:rsidP="00B075A6">
      <w:pPr>
        <w:spacing w:before="100" w:beforeAutospacing="1" w:after="100" w:afterAutospacing="1"/>
        <w:rPr>
          <w:sz w:val="20"/>
          <w:szCs w:val="20"/>
        </w:rPr>
      </w:pPr>
      <w:r w:rsidRPr="00B075A6">
        <w:rPr>
          <w:sz w:val="20"/>
          <w:szCs w:val="20"/>
        </w:rPr>
        <w:t>It’s worth noting that NR RRC already supports broadcasting lists of TAIs for other features (e.g., tracking area codes in SIB1 for mobility). Reusing similar encoding ensures UEs can handle it. The size limits (</w:t>
      </w:r>
      <w:proofErr w:type="spellStart"/>
      <w:r w:rsidRPr="00B075A6">
        <w:rPr>
          <w:sz w:val="20"/>
          <w:szCs w:val="20"/>
        </w:rPr>
        <w:t>maxNumTAs</w:t>
      </w:r>
      <w:proofErr w:type="spellEnd"/>
      <w:r w:rsidRPr="00B075A6">
        <w:rPr>
          <w:sz w:val="20"/>
          <w:szCs w:val="20"/>
        </w:rPr>
        <w:t xml:space="preserve">, </w:t>
      </w:r>
      <w:proofErr w:type="spellStart"/>
      <w:r w:rsidRPr="00B075A6">
        <w:rPr>
          <w:sz w:val="20"/>
          <w:szCs w:val="20"/>
        </w:rPr>
        <w:t>maxNumCells</w:t>
      </w:r>
      <w:proofErr w:type="spellEnd"/>
      <w:r w:rsidRPr="00B075A6">
        <w:rPr>
          <w:sz w:val="20"/>
          <w:szCs w:val="20"/>
        </w:rPr>
        <w:t>) can be chosen to balance needs – perhaps on the order of a few tens, not hundreds, to keep SIB size reasonable. If an area covers too many cells, using TA grouping is recommended to compress the list.</w:t>
      </w:r>
    </w:p>
    <w:p w14:paraId="75B636F8" w14:textId="77777777" w:rsidR="00B075A6" w:rsidRPr="00B075A6" w:rsidRDefault="00B075A6" w:rsidP="00B075A6">
      <w:pPr>
        <w:pStyle w:val="Caption"/>
      </w:pPr>
      <w:r w:rsidRPr="00B075A6">
        <w:t>Signaling Flow for Proposal 2 (NGAP + SIB with Cell/TAI list)</w:t>
      </w:r>
    </w:p>
    <w:p w14:paraId="6A67BEB4" w14:textId="77777777" w:rsidR="00B075A6" w:rsidRPr="00B075A6" w:rsidRDefault="00B075A6" w:rsidP="00B075A6">
      <w:pPr>
        <w:spacing w:before="100" w:beforeAutospacing="1" w:after="100" w:afterAutospacing="1"/>
        <w:rPr>
          <w:sz w:val="20"/>
          <w:szCs w:val="20"/>
        </w:rPr>
      </w:pPr>
      <w:r w:rsidRPr="00B075A6">
        <w:rPr>
          <w:sz w:val="20"/>
          <w:szCs w:val="20"/>
        </w:rPr>
        <w:t>The high-level signaling flow is analogous to Proposal 1, but with the content of the messages carrying area identifiers rather than coordinates. We illustrate it below:</w:t>
      </w:r>
    </w:p>
    <w:p w14:paraId="577FB210" w14:textId="7ED7DCB9" w:rsidR="00B075A6" w:rsidRDefault="00B075A6" w:rsidP="00B075A6">
      <w:r>
        <w:rPr>
          <w:noProof/>
        </w:rPr>
        <w:lastRenderedPageBreak/>
        <w:drawing>
          <wp:inline distT="0" distB="0" distL="0" distR="0" wp14:anchorId="3A3B93F4" wp14:editId="626833D9">
            <wp:extent cx="5851525" cy="5096510"/>
            <wp:effectExtent l="0" t="0" r="0" b="8890"/>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posal2.svg"/>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5851525" cy="5096510"/>
                    </a:xfrm>
                    <a:prstGeom prst="rect">
                      <a:avLst/>
                    </a:prstGeom>
                  </pic:spPr>
                </pic:pic>
              </a:graphicData>
            </a:graphic>
          </wp:inline>
        </w:drawing>
      </w:r>
    </w:p>
    <w:p w14:paraId="430609B7" w14:textId="59AF96B5" w:rsidR="00B075A6" w:rsidRDefault="00B075A6" w:rsidP="00B075A6"/>
    <w:p w14:paraId="595755E1" w14:textId="77777777" w:rsidR="00B075A6" w:rsidRPr="00B075A6" w:rsidRDefault="00B075A6" w:rsidP="00B075A6">
      <w:pPr>
        <w:spacing w:before="100" w:beforeAutospacing="1" w:after="100" w:afterAutospacing="1"/>
        <w:rPr>
          <w:rFonts w:eastAsia="Times New Roman"/>
          <w:sz w:val="20"/>
          <w:szCs w:val="20"/>
          <w:lang w:val="en-IN" w:eastAsia="en-IN"/>
        </w:rPr>
      </w:pPr>
      <w:r w:rsidRPr="00B075A6">
        <w:rPr>
          <w:rFonts w:eastAsia="Times New Roman"/>
          <w:sz w:val="20"/>
          <w:szCs w:val="20"/>
          <w:lang w:val="en-IN" w:eastAsia="en-IN"/>
        </w:rPr>
        <w:t>Some additional clarifications for this flow:</w:t>
      </w:r>
    </w:p>
    <w:p w14:paraId="06867E0C" w14:textId="77777777" w:rsidR="00B075A6" w:rsidRPr="00B075A6" w:rsidRDefault="00B075A6" w:rsidP="00B075A6">
      <w:pPr>
        <w:numPr>
          <w:ilvl w:val="0"/>
          <w:numId w:val="45"/>
        </w:numPr>
        <w:spacing w:before="100" w:beforeAutospacing="1" w:after="100" w:afterAutospacing="1"/>
        <w:rPr>
          <w:rFonts w:eastAsia="Times New Roman"/>
          <w:sz w:val="20"/>
          <w:szCs w:val="20"/>
          <w:lang w:val="en-IN" w:eastAsia="en-IN"/>
        </w:rPr>
      </w:pPr>
      <w:r w:rsidRPr="00B075A6">
        <w:rPr>
          <w:rFonts w:eastAsia="Times New Roman"/>
          <w:sz w:val="20"/>
          <w:szCs w:val="20"/>
          <w:lang w:val="en-IN" w:eastAsia="en-IN"/>
        </w:rPr>
        <w:t xml:space="preserve">In many cases, if a </w:t>
      </w:r>
      <w:proofErr w:type="spellStart"/>
      <w:r w:rsidRPr="00B075A6">
        <w:rPr>
          <w:rFonts w:eastAsia="Times New Roman"/>
          <w:sz w:val="20"/>
          <w:szCs w:val="20"/>
          <w:lang w:val="en-IN" w:eastAsia="en-IN"/>
        </w:rPr>
        <w:t>gNB</w:t>
      </w:r>
      <w:proofErr w:type="spellEnd"/>
      <w:r w:rsidRPr="00B075A6">
        <w:rPr>
          <w:rFonts w:eastAsia="Times New Roman"/>
          <w:sz w:val="20"/>
          <w:szCs w:val="20"/>
          <w:lang w:val="en-IN" w:eastAsia="en-IN"/>
        </w:rPr>
        <w:t xml:space="preserve"> receives the MBS session, that implies the </w:t>
      </w:r>
      <w:proofErr w:type="spellStart"/>
      <w:r w:rsidRPr="00B075A6">
        <w:rPr>
          <w:rFonts w:eastAsia="Times New Roman"/>
          <w:sz w:val="20"/>
          <w:szCs w:val="20"/>
          <w:lang w:val="en-IN" w:eastAsia="en-IN"/>
        </w:rPr>
        <w:t>gNB’s</w:t>
      </w:r>
      <w:proofErr w:type="spellEnd"/>
      <w:r w:rsidRPr="00B075A6">
        <w:rPr>
          <w:rFonts w:eastAsia="Times New Roman"/>
          <w:sz w:val="20"/>
          <w:szCs w:val="20"/>
          <w:lang w:val="en-IN" w:eastAsia="en-IN"/>
        </w:rPr>
        <w:t xml:space="preserve"> coverage is part of the service area. One might argue the </w:t>
      </w:r>
      <w:proofErr w:type="spellStart"/>
      <w:r w:rsidRPr="00B075A6">
        <w:rPr>
          <w:rFonts w:eastAsia="Times New Roman"/>
          <w:sz w:val="20"/>
          <w:szCs w:val="20"/>
          <w:lang w:val="en-IN" w:eastAsia="en-IN"/>
        </w:rPr>
        <w:t>gNB</w:t>
      </w:r>
      <w:proofErr w:type="spellEnd"/>
      <w:r w:rsidRPr="00B075A6">
        <w:rPr>
          <w:rFonts w:eastAsia="Times New Roman"/>
          <w:sz w:val="20"/>
          <w:szCs w:val="20"/>
          <w:lang w:val="en-IN" w:eastAsia="en-IN"/>
        </w:rPr>
        <w:t xml:space="preserve"> could simply broadcast an indicator like “this entire cell is in service area.” However, listing the IDs explicitly serves two purposes: (a) If the service area spans multiple TAs or cells, the UE can know the breadth of the area (useful for mobility – e.g., if the UE moves to a cell with a different TAC not listed, it will know the service will cease). (b) If the </w:t>
      </w:r>
      <w:proofErr w:type="spellStart"/>
      <w:r w:rsidRPr="00B075A6">
        <w:rPr>
          <w:rFonts w:eastAsia="Times New Roman"/>
          <w:sz w:val="20"/>
          <w:szCs w:val="20"/>
          <w:lang w:val="en-IN" w:eastAsia="en-IN"/>
        </w:rPr>
        <w:t>gNB</w:t>
      </w:r>
      <w:proofErr w:type="spellEnd"/>
      <w:r w:rsidRPr="00B075A6">
        <w:rPr>
          <w:rFonts w:eastAsia="Times New Roman"/>
          <w:sz w:val="20"/>
          <w:szCs w:val="20"/>
          <w:lang w:val="en-IN" w:eastAsia="en-IN"/>
        </w:rPr>
        <w:t xml:space="preserve"> covers a mix of cells, it might only broadcast the content on subset cells – the SIB list can enumerate exactly those. For example, a </w:t>
      </w:r>
      <w:proofErr w:type="spellStart"/>
      <w:r w:rsidRPr="00B075A6">
        <w:rPr>
          <w:rFonts w:eastAsia="Times New Roman"/>
          <w:sz w:val="20"/>
          <w:szCs w:val="20"/>
          <w:lang w:val="en-IN" w:eastAsia="en-IN"/>
        </w:rPr>
        <w:t>gNB</w:t>
      </w:r>
      <w:proofErr w:type="spellEnd"/>
      <w:r w:rsidRPr="00B075A6">
        <w:rPr>
          <w:rFonts w:eastAsia="Times New Roman"/>
          <w:sz w:val="20"/>
          <w:szCs w:val="20"/>
          <w:lang w:val="en-IN" w:eastAsia="en-IN"/>
        </w:rPr>
        <w:t xml:space="preserve"> controlling 100 cells could be instructed to broadcast on 20 of them; the SIB in those cells can list those 20 CGIs as the service area. UEs in any of those 20 will see their cell ID in the list.</w:t>
      </w:r>
    </w:p>
    <w:p w14:paraId="709E35A6" w14:textId="77777777" w:rsidR="00B075A6" w:rsidRPr="00B075A6" w:rsidRDefault="00B075A6" w:rsidP="00B075A6">
      <w:pPr>
        <w:numPr>
          <w:ilvl w:val="0"/>
          <w:numId w:val="45"/>
        </w:numPr>
        <w:spacing w:before="100" w:beforeAutospacing="1" w:after="100" w:afterAutospacing="1"/>
        <w:rPr>
          <w:rFonts w:eastAsia="Times New Roman"/>
          <w:sz w:val="20"/>
          <w:szCs w:val="20"/>
          <w:lang w:val="en-IN" w:eastAsia="en-IN"/>
        </w:rPr>
      </w:pPr>
      <w:r w:rsidRPr="00B075A6">
        <w:rPr>
          <w:rFonts w:eastAsia="Times New Roman"/>
          <w:sz w:val="20"/>
          <w:szCs w:val="20"/>
          <w:lang w:val="en-IN" w:eastAsia="en-IN"/>
        </w:rPr>
        <w:t xml:space="preserve">The NGAP message can include the TAI list mainly to ensure the correct </w:t>
      </w:r>
      <w:proofErr w:type="spellStart"/>
      <w:r w:rsidRPr="00B075A6">
        <w:rPr>
          <w:rFonts w:eastAsia="Times New Roman"/>
          <w:sz w:val="20"/>
          <w:szCs w:val="20"/>
          <w:lang w:val="en-IN" w:eastAsia="en-IN"/>
        </w:rPr>
        <w:t>gNBs</w:t>
      </w:r>
      <w:proofErr w:type="spellEnd"/>
      <w:r w:rsidRPr="00B075A6">
        <w:rPr>
          <w:rFonts w:eastAsia="Times New Roman"/>
          <w:sz w:val="20"/>
          <w:szCs w:val="20"/>
          <w:lang w:val="en-IN" w:eastAsia="en-IN"/>
        </w:rPr>
        <w:t xml:space="preserve"> get the message. In practice, the AMF may have a mapping of TAIs to </w:t>
      </w:r>
      <w:proofErr w:type="spellStart"/>
      <w:r w:rsidRPr="00B075A6">
        <w:rPr>
          <w:rFonts w:eastAsia="Times New Roman"/>
          <w:sz w:val="20"/>
          <w:szCs w:val="20"/>
          <w:lang w:val="en-IN" w:eastAsia="en-IN"/>
        </w:rPr>
        <w:t>gNBs</w:t>
      </w:r>
      <w:proofErr w:type="spellEnd"/>
      <w:r w:rsidRPr="00B075A6">
        <w:rPr>
          <w:rFonts w:eastAsia="Times New Roman"/>
          <w:sz w:val="20"/>
          <w:szCs w:val="20"/>
          <w:lang w:val="en-IN" w:eastAsia="en-IN"/>
        </w:rPr>
        <w:t xml:space="preserve">. If a </w:t>
      </w:r>
      <w:proofErr w:type="spellStart"/>
      <w:r w:rsidRPr="00B075A6">
        <w:rPr>
          <w:rFonts w:eastAsia="Times New Roman"/>
          <w:sz w:val="20"/>
          <w:szCs w:val="20"/>
          <w:lang w:val="en-IN" w:eastAsia="en-IN"/>
        </w:rPr>
        <w:t>gNB</w:t>
      </w:r>
      <w:proofErr w:type="spellEnd"/>
      <w:r w:rsidRPr="00B075A6">
        <w:rPr>
          <w:rFonts w:eastAsia="Times New Roman"/>
          <w:sz w:val="20"/>
          <w:szCs w:val="20"/>
          <w:lang w:val="en-IN" w:eastAsia="en-IN"/>
        </w:rPr>
        <w:t xml:space="preserve"> serves multiple TAIs, it will receive one message covering all, and then use the info to only broadcast in relevant cells. If the NGAP explicitly contains a cell list, it would directly tell the </w:t>
      </w:r>
      <w:proofErr w:type="spellStart"/>
      <w:r w:rsidRPr="00B075A6">
        <w:rPr>
          <w:rFonts w:eastAsia="Times New Roman"/>
          <w:sz w:val="20"/>
          <w:szCs w:val="20"/>
          <w:lang w:val="en-IN" w:eastAsia="en-IN"/>
        </w:rPr>
        <w:t>gNB</w:t>
      </w:r>
      <w:proofErr w:type="spellEnd"/>
      <w:r w:rsidRPr="00B075A6">
        <w:rPr>
          <w:rFonts w:eastAsia="Times New Roman"/>
          <w:sz w:val="20"/>
          <w:szCs w:val="20"/>
          <w:lang w:val="en-IN" w:eastAsia="en-IN"/>
        </w:rPr>
        <w:t xml:space="preserve"> “broadcast on these cell IDs”. This could be an alternative approach (embedding cell list in NGAP), but typically NGAP tends to operate at a higher level (TAI or entire </w:t>
      </w:r>
      <w:proofErr w:type="spellStart"/>
      <w:r w:rsidRPr="00B075A6">
        <w:rPr>
          <w:rFonts w:eastAsia="Times New Roman"/>
          <w:sz w:val="20"/>
          <w:szCs w:val="20"/>
          <w:lang w:val="en-IN" w:eastAsia="en-IN"/>
        </w:rPr>
        <w:t>gNB</w:t>
      </w:r>
      <w:proofErr w:type="spellEnd"/>
      <w:r w:rsidRPr="00B075A6">
        <w:rPr>
          <w:rFonts w:eastAsia="Times New Roman"/>
          <w:sz w:val="20"/>
          <w:szCs w:val="20"/>
          <w:lang w:val="en-IN" w:eastAsia="en-IN"/>
        </w:rPr>
        <w:t xml:space="preserve"> node level).</w:t>
      </w:r>
    </w:p>
    <w:p w14:paraId="007D105A" w14:textId="77777777" w:rsidR="00B075A6" w:rsidRPr="00B075A6" w:rsidRDefault="00B075A6" w:rsidP="00B075A6">
      <w:pPr>
        <w:numPr>
          <w:ilvl w:val="0"/>
          <w:numId w:val="45"/>
        </w:numPr>
        <w:spacing w:before="100" w:beforeAutospacing="1" w:after="100" w:afterAutospacing="1"/>
        <w:rPr>
          <w:rFonts w:eastAsia="Times New Roman"/>
          <w:sz w:val="20"/>
          <w:szCs w:val="20"/>
          <w:lang w:val="en-IN" w:eastAsia="en-IN"/>
        </w:rPr>
      </w:pPr>
      <w:r w:rsidRPr="00B075A6">
        <w:rPr>
          <w:rFonts w:eastAsia="Times New Roman"/>
          <w:sz w:val="20"/>
          <w:szCs w:val="20"/>
          <w:lang w:val="en-IN" w:eastAsia="en-IN"/>
        </w:rPr>
        <w:t>The system information can be updated whenever a new MBS session starts or ends. If multiple broadcast sessions run concurrently, the SIB might contain multiple entries (one per session, each with its own area list). However, that could bloat the SIB; an alternative is to have an index or area identifier in the SIB that maps to something like FSAI or a short code which in turn the UE knows corresponds to certain TAs (similar to how SAI worked in LTE). But here we assume the straightforward approach of directly listing the coverage IDs.</w:t>
      </w:r>
    </w:p>
    <w:p w14:paraId="74F75C9A" w14:textId="77777777" w:rsidR="00B075A6" w:rsidRPr="00B075A6" w:rsidRDefault="00B075A6" w:rsidP="00B075A6">
      <w:pPr>
        <w:spacing w:before="100" w:beforeAutospacing="1" w:after="100" w:afterAutospacing="1"/>
        <w:rPr>
          <w:rFonts w:eastAsia="Times New Roman"/>
          <w:sz w:val="20"/>
          <w:szCs w:val="20"/>
          <w:lang w:val="en-IN" w:eastAsia="en-IN"/>
        </w:rPr>
      </w:pPr>
      <w:r w:rsidRPr="00B075A6">
        <w:rPr>
          <w:rFonts w:eastAsia="Times New Roman"/>
          <w:i/>
          <w:iCs/>
          <w:sz w:val="20"/>
          <w:szCs w:val="20"/>
          <w:lang w:val="en-IN" w:eastAsia="en-IN"/>
        </w:rPr>
        <w:lastRenderedPageBreak/>
        <w:t>(See Figures 1 and 2 embedded in the proposal sections above for detailed call flows for each proposal.)</w:t>
      </w:r>
      <w:r w:rsidRPr="00B075A6">
        <w:rPr>
          <w:rFonts w:eastAsia="Times New Roman"/>
          <w:sz w:val="20"/>
          <w:szCs w:val="20"/>
          <w:lang w:val="en-IN" w:eastAsia="en-IN"/>
        </w:rPr>
        <w:t xml:space="preserve"> Each diagram illustrated the sequence from core to </w:t>
      </w:r>
      <w:proofErr w:type="spellStart"/>
      <w:r w:rsidRPr="00B075A6">
        <w:rPr>
          <w:rFonts w:eastAsia="Times New Roman"/>
          <w:sz w:val="20"/>
          <w:szCs w:val="20"/>
          <w:lang w:val="en-IN" w:eastAsia="en-IN"/>
        </w:rPr>
        <w:t>gNB</w:t>
      </w:r>
      <w:proofErr w:type="spellEnd"/>
      <w:r w:rsidRPr="00B075A6">
        <w:rPr>
          <w:rFonts w:eastAsia="Times New Roman"/>
          <w:sz w:val="20"/>
          <w:szCs w:val="20"/>
          <w:lang w:val="en-IN" w:eastAsia="en-IN"/>
        </w:rPr>
        <w:t xml:space="preserve"> to UE. For completeness, we summarize the key differences here:</w:t>
      </w:r>
    </w:p>
    <w:p w14:paraId="50A86699" w14:textId="77777777" w:rsidR="00B075A6" w:rsidRPr="00B075A6" w:rsidRDefault="00B075A6" w:rsidP="00B075A6">
      <w:pPr>
        <w:numPr>
          <w:ilvl w:val="0"/>
          <w:numId w:val="46"/>
        </w:numPr>
        <w:spacing w:before="100" w:beforeAutospacing="1" w:after="100" w:afterAutospacing="1"/>
        <w:rPr>
          <w:rFonts w:eastAsia="Times New Roman"/>
          <w:sz w:val="20"/>
          <w:szCs w:val="20"/>
          <w:lang w:val="en-IN" w:eastAsia="en-IN"/>
        </w:rPr>
      </w:pPr>
      <w:r w:rsidRPr="00B075A6">
        <w:rPr>
          <w:rFonts w:eastAsia="Times New Roman"/>
          <w:sz w:val="20"/>
          <w:szCs w:val="20"/>
          <w:lang w:val="en-IN" w:eastAsia="en-IN"/>
        </w:rPr>
        <w:t xml:space="preserve">In </w:t>
      </w:r>
      <w:r w:rsidRPr="00B075A6">
        <w:rPr>
          <w:rFonts w:eastAsia="Times New Roman"/>
          <w:b/>
          <w:bCs/>
          <w:sz w:val="20"/>
          <w:szCs w:val="20"/>
          <w:lang w:val="en-IN" w:eastAsia="en-IN"/>
        </w:rPr>
        <w:t>Proposal 1’s flow</w:t>
      </w:r>
      <w:r w:rsidRPr="00B075A6">
        <w:rPr>
          <w:rFonts w:eastAsia="Times New Roman"/>
          <w:sz w:val="20"/>
          <w:szCs w:val="20"/>
          <w:lang w:val="en-IN" w:eastAsia="en-IN"/>
        </w:rPr>
        <w:t xml:space="preserve"> (Figure 1), the NGAP message carries an </w:t>
      </w:r>
      <w:r w:rsidRPr="00B075A6">
        <w:rPr>
          <w:rFonts w:eastAsia="Times New Roman"/>
          <w:b/>
          <w:bCs/>
          <w:sz w:val="20"/>
          <w:szCs w:val="20"/>
          <w:lang w:val="en-IN" w:eastAsia="en-IN"/>
        </w:rPr>
        <w:t>OCTET STRING with geo-coordinates</w:t>
      </w:r>
      <w:r w:rsidRPr="00B075A6">
        <w:rPr>
          <w:rFonts w:eastAsia="Times New Roman"/>
          <w:sz w:val="20"/>
          <w:szCs w:val="20"/>
          <w:lang w:val="en-IN" w:eastAsia="en-IN"/>
        </w:rPr>
        <w:t xml:space="preserve">, and the SIB conveys a polygon or circle. The UE performs a </w:t>
      </w:r>
      <w:r w:rsidRPr="00B075A6">
        <w:rPr>
          <w:rFonts w:eastAsia="Times New Roman"/>
          <w:b/>
          <w:bCs/>
          <w:sz w:val="20"/>
          <w:szCs w:val="20"/>
          <w:lang w:val="en-IN" w:eastAsia="en-IN"/>
        </w:rPr>
        <w:t>location check</w:t>
      </w:r>
      <w:r w:rsidRPr="00B075A6">
        <w:rPr>
          <w:rFonts w:eastAsia="Times New Roman"/>
          <w:sz w:val="20"/>
          <w:szCs w:val="20"/>
          <w:lang w:val="en-IN" w:eastAsia="en-IN"/>
        </w:rPr>
        <w:t xml:space="preserve"> against that shape.</w:t>
      </w:r>
    </w:p>
    <w:p w14:paraId="6774CFB9" w14:textId="77777777" w:rsidR="00B075A6" w:rsidRPr="00B075A6" w:rsidRDefault="00B075A6" w:rsidP="00B075A6">
      <w:pPr>
        <w:numPr>
          <w:ilvl w:val="0"/>
          <w:numId w:val="46"/>
        </w:numPr>
        <w:spacing w:before="100" w:beforeAutospacing="1" w:after="100" w:afterAutospacing="1"/>
        <w:rPr>
          <w:rFonts w:eastAsia="Times New Roman"/>
          <w:sz w:val="20"/>
          <w:szCs w:val="20"/>
          <w:lang w:val="en-IN" w:eastAsia="en-IN"/>
        </w:rPr>
      </w:pPr>
      <w:r w:rsidRPr="00B075A6">
        <w:rPr>
          <w:rFonts w:eastAsia="Times New Roman"/>
          <w:sz w:val="20"/>
          <w:szCs w:val="20"/>
          <w:lang w:val="en-IN" w:eastAsia="en-IN"/>
        </w:rPr>
        <w:t xml:space="preserve">In </w:t>
      </w:r>
      <w:r w:rsidRPr="00B075A6">
        <w:rPr>
          <w:rFonts w:eastAsia="Times New Roman"/>
          <w:b/>
          <w:bCs/>
          <w:sz w:val="20"/>
          <w:szCs w:val="20"/>
          <w:lang w:val="en-IN" w:eastAsia="en-IN"/>
        </w:rPr>
        <w:t>Proposal 2’s flow</w:t>
      </w:r>
      <w:r w:rsidRPr="00B075A6">
        <w:rPr>
          <w:rFonts w:eastAsia="Times New Roman"/>
          <w:sz w:val="20"/>
          <w:szCs w:val="20"/>
          <w:lang w:val="en-IN" w:eastAsia="en-IN"/>
        </w:rPr>
        <w:t xml:space="preserve"> (Figure 2), the NGAP message (implicitly or explicitly) carries a list of </w:t>
      </w:r>
      <w:r w:rsidRPr="00B075A6">
        <w:rPr>
          <w:rFonts w:eastAsia="Times New Roman"/>
          <w:b/>
          <w:bCs/>
          <w:sz w:val="20"/>
          <w:szCs w:val="20"/>
          <w:lang w:val="en-IN" w:eastAsia="en-IN"/>
        </w:rPr>
        <w:t>area identifiers</w:t>
      </w:r>
      <w:r w:rsidRPr="00B075A6">
        <w:rPr>
          <w:rFonts w:eastAsia="Times New Roman"/>
          <w:sz w:val="20"/>
          <w:szCs w:val="20"/>
          <w:lang w:val="en-IN" w:eastAsia="en-IN"/>
        </w:rPr>
        <w:t xml:space="preserve">, and the SIB broadcasts those IDs. The UE performs an </w:t>
      </w:r>
      <w:r w:rsidRPr="00B075A6">
        <w:rPr>
          <w:rFonts w:eastAsia="Times New Roman"/>
          <w:b/>
          <w:bCs/>
          <w:sz w:val="20"/>
          <w:szCs w:val="20"/>
          <w:lang w:val="en-IN" w:eastAsia="en-IN"/>
        </w:rPr>
        <w:t>ID membership check</w:t>
      </w:r>
      <w:r w:rsidRPr="00B075A6">
        <w:rPr>
          <w:rFonts w:eastAsia="Times New Roman"/>
          <w:sz w:val="20"/>
          <w:szCs w:val="20"/>
          <w:lang w:val="en-IN" w:eastAsia="en-IN"/>
        </w:rPr>
        <w:t xml:space="preserve"> (does my TA/cell appear in the list?).</w:t>
      </w:r>
    </w:p>
    <w:p w14:paraId="0751EBBD" w14:textId="77777777" w:rsidR="00B075A6" w:rsidRPr="00B075A6" w:rsidRDefault="00B075A6" w:rsidP="00B075A6">
      <w:pPr>
        <w:spacing w:before="100" w:beforeAutospacing="1" w:after="100" w:afterAutospacing="1"/>
        <w:rPr>
          <w:rFonts w:eastAsia="Times New Roman"/>
          <w:sz w:val="24"/>
          <w:lang w:val="en-IN" w:eastAsia="en-IN"/>
        </w:rPr>
      </w:pPr>
      <w:r w:rsidRPr="00B075A6">
        <w:rPr>
          <w:rFonts w:eastAsia="Times New Roman"/>
          <w:sz w:val="20"/>
          <w:szCs w:val="20"/>
          <w:lang w:val="en-IN" w:eastAsia="en-IN"/>
        </w:rPr>
        <w:t xml:space="preserve">In both flows, the overall interaction count and sequence are similar; the main change is the information content. The </w:t>
      </w:r>
      <w:proofErr w:type="spellStart"/>
      <w:r w:rsidRPr="00B075A6">
        <w:rPr>
          <w:rFonts w:eastAsia="Times New Roman"/>
          <w:sz w:val="20"/>
          <w:szCs w:val="20"/>
          <w:lang w:val="en-IN" w:eastAsia="en-IN"/>
        </w:rPr>
        <w:t>gNB’s</w:t>
      </w:r>
      <w:proofErr w:type="spellEnd"/>
      <w:r w:rsidRPr="00B075A6">
        <w:rPr>
          <w:rFonts w:eastAsia="Times New Roman"/>
          <w:sz w:val="20"/>
          <w:szCs w:val="20"/>
          <w:lang w:val="en-IN" w:eastAsia="en-IN"/>
        </w:rPr>
        <w:t xml:space="preserve"> broadcasting of the intended area occurs at step 4 in both cases, just with different data format. UEs achieve awareness of the service area either by geometric inclusion or by ID matching.</w:t>
      </w:r>
    </w:p>
    <w:p w14:paraId="38BC22D2" w14:textId="77777777" w:rsidR="00B075A6" w:rsidRDefault="00B075A6" w:rsidP="00B075A6">
      <w:pPr>
        <w:pStyle w:val="Heading2"/>
        <w:rPr>
          <w:sz w:val="48"/>
          <w:szCs w:val="48"/>
          <w:lang w:val="en-IN" w:eastAsia="en-IN"/>
        </w:rPr>
      </w:pPr>
      <w:r>
        <w:t>Comparison of Signaling Behavior</w:t>
      </w:r>
    </w:p>
    <w:p w14:paraId="2490A35D" w14:textId="77777777" w:rsidR="00B075A6" w:rsidRPr="00B075A6" w:rsidRDefault="00B075A6" w:rsidP="00B075A6">
      <w:pPr>
        <w:spacing w:before="100" w:beforeAutospacing="1" w:after="100" w:afterAutospacing="1"/>
        <w:rPr>
          <w:sz w:val="20"/>
          <w:szCs w:val="20"/>
        </w:rPr>
      </w:pPr>
      <w:r w:rsidRPr="00B075A6">
        <w:rPr>
          <w:sz w:val="20"/>
          <w:szCs w:val="20"/>
        </w:rPr>
        <w:t>Both proposals achieve the goal of informing UEs about the broadcast service area, but they do so with different trade-offs. Below we compare them on key aspects:</w:t>
      </w:r>
    </w:p>
    <w:p w14:paraId="5BD7EECA" w14:textId="77777777" w:rsidR="00B075A6" w:rsidRPr="00B075A6" w:rsidRDefault="00B075A6" w:rsidP="00B075A6">
      <w:pPr>
        <w:numPr>
          <w:ilvl w:val="0"/>
          <w:numId w:val="47"/>
        </w:numPr>
        <w:spacing w:before="100" w:beforeAutospacing="1" w:after="100" w:afterAutospacing="1"/>
        <w:rPr>
          <w:sz w:val="20"/>
          <w:szCs w:val="20"/>
        </w:rPr>
      </w:pPr>
      <w:r w:rsidRPr="00B075A6">
        <w:rPr>
          <w:rStyle w:val="Strong"/>
          <w:b w:val="0"/>
          <w:sz w:val="20"/>
          <w:szCs w:val="20"/>
        </w:rPr>
        <w:t>Signaling Overhead:</w:t>
      </w:r>
    </w:p>
    <w:p w14:paraId="05F0AA95" w14:textId="77777777" w:rsidR="00B075A6" w:rsidRPr="00B075A6" w:rsidRDefault="00B075A6" w:rsidP="00B075A6">
      <w:pPr>
        <w:numPr>
          <w:ilvl w:val="1"/>
          <w:numId w:val="47"/>
        </w:numPr>
        <w:spacing w:before="100" w:beforeAutospacing="1" w:after="100" w:afterAutospacing="1"/>
        <w:rPr>
          <w:sz w:val="20"/>
          <w:szCs w:val="20"/>
        </w:rPr>
      </w:pPr>
      <w:r w:rsidRPr="00B075A6">
        <w:rPr>
          <w:rStyle w:val="Emphasis"/>
          <w:sz w:val="20"/>
          <w:szCs w:val="20"/>
        </w:rPr>
        <w:t xml:space="preserve">Proposal 1 (Geo </w:t>
      </w:r>
      <w:proofErr w:type="spellStart"/>
      <w:r w:rsidRPr="00B075A6">
        <w:rPr>
          <w:rStyle w:val="Emphasis"/>
          <w:sz w:val="20"/>
          <w:szCs w:val="20"/>
        </w:rPr>
        <w:t>coords</w:t>
      </w:r>
      <w:proofErr w:type="spellEnd"/>
      <w:r w:rsidRPr="00B075A6">
        <w:rPr>
          <w:rStyle w:val="Emphasis"/>
          <w:sz w:val="20"/>
          <w:szCs w:val="20"/>
        </w:rPr>
        <w:t>)</w:t>
      </w:r>
      <w:r w:rsidRPr="00B075A6">
        <w:rPr>
          <w:sz w:val="20"/>
          <w:szCs w:val="20"/>
        </w:rPr>
        <w:t xml:space="preserve"> – Typically more efficient for describing a large contiguous area. A single shape can cover many cells. Overhead grows with shape complexity (number of vertices for a polygon, etc.) but is generally moderate (few bytes to tens of bytes).</w:t>
      </w:r>
    </w:p>
    <w:p w14:paraId="7CCCB885" w14:textId="77777777" w:rsidR="00B075A6" w:rsidRPr="00B075A6" w:rsidRDefault="00B075A6" w:rsidP="00B075A6">
      <w:pPr>
        <w:numPr>
          <w:ilvl w:val="1"/>
          <w:numId w:val="47"/>
        </w:numPr>
        <w:spacing w:before="100" w:beforeAutospacing="1" w:after="100" w:afterAutospacing="1"/>
        <w:rPr>
          <w:sz w:val="20"/>
          <w:szCs w:val="20"/>
        </w:rPr>
      </w:pPr>
      <w:r w:rsidRPr="00B075A6">
        <w:rPr>
          <w:rStyle w:val="Emphasis"/>
          <w:sz w:val="20"/>
          <w:szCs w:val="20"/>
        </w:rPr>
        <w:t>Proposal 2 (List)</w:t>
      </w:r>
      <w:r w:rsidRPr="00B075A6">
        <w:rPr>
          <w:sz w:val="20"/>
          <w:szCs w:val="20"/>
        </w:rPr>
        <w:t xml:space="preserve"> – Overhead depends on number of entries. For a compact region aligned with one or two TAs, it’s extremely small (just those TA codes). For a complex region requiring many cell IDs, the overhead can increase linearly with count of cells. In worst-case, listing dozens of cells could be heavier than a polygon description. The use of TA groups can mitigate this.</w:t>
      </w:r>
    </w:p>
    <w:p w14:paraId="54CFAE77" w14:textId="77777777" w:rsidR="00B075A6" w:rsidRPr="00B075A6" w:rsidRDefault="00B075A6" w:rsidP="00B075A6">
      <w:pPr>
        <w:numPr>
          <w:ilvl w:val="0"/>
          <w:numId w:val="47"/>
        </w:numPr>
        <w:spacing w:before="100" w:beforeAutospacing="1" w:after="100" w:afterAutospacing="1"/>
        <w:rPr>
          <w:sz w:val="20"/>
          <w:szCs w:val="20"/>
        </w:rPr>
      </w:pPr>
      <w:r w:rsidRPr="00B075A6">
        <w:rPr>
          <w:rStyle w:val="Strong"/>
          <w:b w:val="0"/>
          <w:sz w:val="20"/>
          <w:szCs w:val="20"/>
        </w:rPr>
        <w:t>Flexibility &amp; Granularity:</w:t>
      </w:r>
    </w:p>
    <w:p w14:paraId="3E64F7A7" w14:textId="77777777" w:rsidR="00B075A6" w:rsidRPr="00B075A6" w:rsidRDefault="00B075A6" w:rsidP="00B075A6">
      <w:pPr>
        <w:numPr>
          <w:ilvl w:val="1"/>
          <w:numId w:val="47"/>
        </w:numPr>
        <w:spacing w:before="100" w:beforeAutospacing="1" w:after="100" w:afterAutospacing="1"/>
        <w:rPr>
          <w:sz w:val="20"/>
          <w:szCs w:val="20"/>
        </w:rPr>
      </w:pPr>
      <w:r w:rsidRPr="00B075A6">
        <w:rPr>
          <w:rStyle w:val="Emphasis"/>
          <w:sz w:val="20"/>
          <w:szCs w:val="20"/>
        </w:rPr>
        <w:t>Proposal 1</w:t>
      </w:r>
      <w:r w:rsidRPr="00B075A6">
        <w:rPr>
          <w:sz w:val="20"/>
          <w:szCs w:val="20"/>
        </w:rPr>
        <w:t xml:space="preserve"> offers high flexibility – any arbitrary area can be described, independent of network layout. Non-contiguous shapes (if supported via multiple entries) and fine-grained boundaries are possible. UEs get a clear picture of the exact intended coverage on a map.</w:t>
      </w:r>
    </w:p>
    <w:p w14:paraId="427D9523" w14:textId="77777777" w:rsidR="00B075A6" w:rsidRPr="00B075A6" w:rsidRDefault="00B075A6" w:rsidP="00B075A6">
      <w:pPr>
        <w:numPr>
          <w:ilvl w:val="1"/>
          <w:numId w:val="47"/>
        </w:numPr>
        <w:spacing w:before="100" w:beforeAutospacing="1" w:after="100" w:afterAutospacing="1"/>
        <w:rPr>
          <w:sz w:val="20"/>
          <w:szCs w:val="20"/>
        </w:rPr>
      </w:pPr>
      <w:r w:rsidRPr="00B075A6">
        <w:rPr>
          <w:rStyle w:val="Emphasis"/>
          <w:sz w:val="20"/>
          <w:szCs w:val="20"/>
        </w:rPr>
        <w:t>Proposal 2</w:t>
      </w:r>
      <w:r w:rsidRPr="00B075A6">
        <w:rPr>
          <w:sz w:val="20"/>
          <w:szCs w:val="20"/>
        </w:rPr>
        <w:t xml:space="preserve"> is constrained by pre-defined areas (cells/Tracking Areas). It cannot easily express an arbitrary shape except as a composite of those areas. UE’s view of the area is coarse (it knows which cells/areas are included, but not the literal geographic boundary between included and excluded regions except as implied by those identifiers).</w:t>
      </w:r>
    </w:p>
    <w:p w14:paraId="66CF46E4" w14:textId="77777777" w:rsidR="00B075A6" w:rsidRPr="00B075A6" w:rsidRDefault="00B075A6" w:rsidP="00B075A6">
      <w:pPr>
        <w:numPr>
          <w:ilvl w:val="0"/>
          <w:numId w:val="47"/>
        </w:numPr>
        <w:spacing w:before="100" w:beforeAutospacing="1" w:after="100" w:afterAutospacing="1"/>
        <w:rPr>
          <w:sz w:val="20"/>
          <w:szCs w:val="20"/>
        </w:rPr>
      </w:pPr>
      <w:r w:rsidRPr="00B075A6">
        <w:rPr>
          <w:rStyle w:val="Strong"/>
          <w:b w:val="0"/>
          <w:sz w:val="20"/>
          <w:szCs w:val="20"/>
        </w:rPr>
        <w:t>UE Processing &amp; Awareness:</w:t>
      </w:r>
    </w:p>
    <w:p w14:paraId="38DF773D" w14:textId="77777777" w:rsidR="00B075A6" w:rsidRPr="00B075A6" w:rsidRDefault="00B075A6" w:rsidP="00B075A6">
      <w:pPr>
        <w:numPr>
          <w:ilvl w:val="1"/>
          <w:numId w:val="47"/>
        </w:numPr>
        <w:spacing w:before="100" w:beforeAutospacing="1" w:after="100" w:afterAutospacing="1"/>
        <w:rPr>
          <w:sz w:val="20"/>
          <w:szCs w:val="20"/>
        </w:rPr>
      </w:pPr>
      <w:r w:rsidRPr="00B075A6">
        <w:rPr>
          <w:rStyle w:val="Emphasis"/>
          <w:sz w:val="20"/>
          <w:szCs w:val="20"/>
        </w:rPr>
        <w:t>Proposal 1:</w:t>
      </w:r>
      <w:r w:rsidRPr="00B075A6">
        <w:rPr>
          <w:sz w:val="20"/>
          <w:szCs w:val="20"/>
        </w:rPr>
        <w:t xml:space="preserve"> UEs need location determination and must run a point-in-area calculation. UEs that have this capability will precisely know if they are inside or outside. For instance, a UE could even calculate “I am 5 km outside the service polygon” – a level of awareness that could be used by applications. If location is unavailable, the UE might be uncertain (unless network provides a fallback indicator).</w:t>
      </w:r>
    </w:p>
    <w:p w14:paraId="6FEE33E7" w14:textId="77777777" w:rsidR="00B075A6" w:rsidRPr="00B075A6" w:rsidRDefault="00B075A6" w:rsidP="00B075A6">
      <w:pPr>
        <w:numPr>
          <w:ilvl w:val="1"/>
          <w:numId w:val="47"/>
        </w:numPr>
        <w:spacing w:before="100" w:beforeAutospacing="1" w:after="100" w:afterAutospacing="1"/>
        <w:rPr>
          <w:sz w:val="20"/>
          <w:szCs w:val="20"/>
        </w:rPr>
      </w:pPr>
      <w:r w:rsidRPr="00B075A6">
        <w:rPr>
          <w:rStyle w:val="Emphasis"/>
          <w:sz w:val="20"/>
          <w:szCs w:val="20"/>
        </w:rPr>
        <w:t>Proposal 2:</w:t>
      </w:r>
      <w:r w:rsidRPr="00B075A6">
        <w:rPr>
          <w:sz w:val="20"/>
          <w:szCs w:val="20"/>
        </w:rPr>
        <w:t xml:space="preserve"> UEs simply check an ID. This is nearly instantaneous and does not require extra hardware (GNSS). However, if an area is partially covered by a cell, the UE may falsely think it’s “inside” because it shares the cell ID. UEs do not know anything beyond the list of served areas; e.g., they cannot infer how far the service extends in physical distance – they only know if their current cell/TA is served.</w:t>
      </w:r>
    </w:p>
    <w:p w14:paraId="204A0F78" w14:textId="77777777" w:rsidR="00B075A6" w:rsidRPr="00B075A6" w:rsidRDefault="00B075A6" w:rsidP="00B075A6">
      <w:pPr>
        <w:numPr>
          <w:ilvl w:val="0"/>
          <w:numId w:val="47"/>
        </w:numPr>
        <w:spacing w:before="100" w:beforeAutospacing="1" w:after="100" w:afterAutospacing="1"/>
        <w:rPr>
          <w:sz w:val="20"/>
          <w:szCs w:val="20"/>
        </w:rPr>
      </w:pPr>
      <w:r w:rsidRPr="00B075A6">
        <w:rPr>
          <w:rStyle w:val="Strong"/>
          <w:b w:val="0"/>
          <w:sz w:val="20"/>
          <w:szCs w:val="20"/>
        </w:rPr>
        <w:t>NG-RAN Processing:</w:t>
      </w:r>
    </w:p>
    <w:p w14:paraId="54402D75" w14:textId="77777777" w:rsidR="00B075A6" w:rsidRPr="00B075A6" w:rsidRDefault="00B075A6" w:rsidP="00B075A6">
      <w:pPr>
        <w:numPr>
          <w:ilvl w:val="1"/>
          <w:numId w:val="47"/>
        </w:numPr>
        <w:spacing w:before="100" w:beforeAutospacing="1" w:after="100" w:afterAutospacing="1"/>
        <w:rPr>
          <w:sz w:val="20"/>
          <w:szCs w:val="20"/>
        </w:rPr>
      </w:pPr>
      <w:r w:rsidRPr="00B075A6">
        <w:rPr>
          <w:rStyle w:val="Emphasis"/>
          <w:sz w:val="20"/>
          <w:szCs w:val="20"/>
        </w:rPr>
        <w:t>Proposal 1:</w:t>
      </w:r>
      <w:r w:rsidRPr="00B075A6">
        <w:rPr>
          <w:sz w:val="20"/>
          <w:szCs w:val="20"/>
        </w:rPr>
        <w:t xml:space="preserve"> The </w:t>
      </w:r>
      <w:proofErr w:type="spellStart"/>
      <w:r w:rsidRPr="00B075A6">
        <w:rPr>
          <w:sz w:val="20"/>
          <w:szCs w:val="20"/>
        </w:rPr>
        <w:t>gNB</w:t>
      </w:r>
      <w:proofErr w:type="spellEnd"/>
      <w:r w:rsidRPr="00B075A6">
        <w:rPr>
          <w:sz w:val="20"/>
          <w:szCs w:val="20"/>
        </w:rPr>
        <w:t xml:space="preserve"> receives a coordinate string and likely does not interpret it (just forwards to broadcast). Minimal impact on </w:t>
      </w:r>
      <w:proofErr w:type="spellStart"/>
      <w:r w:rsidRPr="00B075A6">
        <w:rPr>
          <w:sz w:val="20"/>
          <w:szCs w:val="20"/>
        </w:rPr>
        <w:t>gNB</w:t>
      </w:r>
      <w:proofErr w:type="spellEnd"/>
      <w:r w:rsidRPr="00B075A6">
        <w:rPr>
          <w:sz w:val="20"/>
          <w:szCs w:val="20"/>
        </w:rPr>
        <w:t xml:space="preserve"> logic, aside from storing the string and including it in SIB scheduling. If </w:t>
      </w:r>
      <w:proofErr w:type="spellStart"/>
      <w:r w:rsidRPr="00B075A6">
        <w:rPr>
          <w:sz w:val="20"/>
          <w:szCs w:val="20"/>
        </w:rPr>
        <w:t>gNB</w:t>
      </w:r>
      <w:proofErr w:type="spellEnd"/>
      <w:r w:rsidRPr="00B075A6">
        <w:rPr>
          <w:sz w:val="20"/>
          <w:szCs w:val="20"/>
        </w:rPr>
        <w:t xml:space="preserve"> needs to decide which cells to broadcast on, it might have to map coordinates to its cells – but ideally the core only sent the message to </w:t>
      </w:r>
      <w:proofErr w:type="spellStart"/>
      <w:r w:rsidRPr="00B075A6">
        <w:rPr>
          <w:sz w:val="20"/>
          <w:szCs w:val="20"/>
        </w:rPr>
        <w:t>gNBs</w:t>
      </w:r>
      <w:proofErr w:type="spellEnd"/>
      <w:r w:rsidRPr="00B075A6">
        <w:rPr>
          <w:sz w:val="20"/>
          <w:szCs w:val="20"/>
        </w:rPr>
        <w:t xml:space="preserve"> whose cells intersect the area, so the </w:t>
      </w:r>
      <w:proofErr w:type="spellStart"/>
      <w:r w:rsidRPr="00B075A6">
        <w:rPr>
          <w:sz w:val="20"/>
          <w:szCs w:val="20"/>
        </w:rPr>
        <w:t>gNB</w:t>
      </w:r>
      <w:proofErr w:type="spellEnd"/>
      <w:r w:rsidRPr="00B075A6">
        <w:rPr>
          <w:sz w:val="20"/>
          <w:szCs w:val="20"/>
        </w:rPr>
        <w:t xml:space="preserve"> knows all its cells should broadcast it (or all cells under that TA, etc.). In case of a </w:t>
      </w:r>
      <w:proofErr w:type="spellStart"/>
      <w:r w:rsidRPr="00B075A6">
        <w:rPr>
          <w:sz w:val="20"/>
          <w:szCs w:val="20"/>
        </w:rPr>
        <w:t>gNB</w:t>
      </w:r>
      <w:proofErr w:type="spellEnd"/>
      <w:r w:rsidRPr="00B075A6">
        <w:rPr>
          <w:sz w:val="20"/>
          <w:szCs w:val="20"/>
        </w:rPr>
        <w:t xml:space="preserve"> handling many cells, if only some are in area, either the core would identify those specifically (via multiple NGAP messages or by providing cell list too), or </w:t>
      </w:r>
      <w:proofErr w:type="spellStart"/>
      <w:r w:rsidRPr="00B075A6">
        <w:rPr>
          <w:sz w:val="20"/>
          <w:szCs w:val="20"/>
        </w:rPr>
        <w:t>gNB</w:t>
      </w:r>
      <w:proofErr w:type="spellEnd"/>
      <w:r w:rsidRPr="00B075A6">
        <w:rPr>
          <w:sz w:val="20"/>
          <w:szCs w:val="20"/>
        </w:rPr>
        <w:t xml:space="preserve"> would perform a check (</w:t>
      </w:r>
      <w:proofErr w:type="spellStart"/>
      <w:r w:rsidRPr="00B075A6">
        <w:rPr>
          <w:sz w:val="20"/>
          <w:szCs w:val="20"/>
        </w:rPr>
        <w:t>gNB</w:t>
      </w:r>
      <w:proofErr w:type="spellEnd"/>
      <w:r w:rsidRPr="00B075A6">
        <w:rPr>
          <w:sz w:val="20"/>
          <w:szCs w:val="20"/>
        </w:rPr>
        <w:t xml:space="preserve"> could theoretically know approximate cell footprint locations).</w:t>
      </w:r>
    </w:p>
    <w:p w14:paraId="3D1CCA8E" w14:textId="77777777" w:rsidR="00B075A6" w:rsidRPr="00B075A6" w:rsidRDefault="00B075A6" w:rsidP="00B075A6">
      <w:pPr>
        <w:numPr>
          <w:ilvl w:val="1"/>
          <w:numId w:val="47"/>
        </w:numPr>
        <w:spacing w:before="100" w:beforeAutospacing="1" w:after="100" w:afterAutospacing="1"/>
        <w:rPr>
          <w:sz w:val="20"/>
          <w:szCs w:val="20"/>
        </w:rPr>
      </w:pPr>
      <w:r w:rsidRPr="00B075A6">
        <w:rPr>
          <w:rStyle w:val="Emphasis"/>
          <w:sz w:val="20"/>
          <w:szCs w:val="20"/>
        </w:rPr>
        <w:t>Proposal 2:</w:t>
      </w:r>
      <w:r w:rsidRPr="00B075A6">
        <w:rPr>
          <w:sz w:val="20"/>
          <w:szCs w:val="20"/>
        </w:rPr>
        <w:t xml:space="preserve"> The </w:t>
      </w:r>
      <w:proofErr w:type="spellStart"/>
      <w:r w:rsidRPr="00B075A6">
        <w:rPr>
          <w:sz w:val="20"/>
          <w:szCs w:val="20"/>
        </w:rPr>
        <w:t>gNB</w:t>
      </w:r>
      <w:proofErr w:type="spellEnd"/>
      <w:r w:rsidRPr="00B075A6">
        <w:rPr>
          <w:sz w:val="20"/>
          <w:szCs w:val="20"/>
        </w:rPr>
        <w:t xml:space="preserve"> gets a ready list of </w:t>
      </w:r>
      <w:proofErr w:type="gramStart"/>
      <w:r w:rsidRPr="00B075A6">
        <w:rPr>
          <w:sz w:val="20"/>
          <w:szCs w:val="20"/>
        </w:rPr>
        <w:t>cell</w:t>
      </w:r>
      <w:proofErr w:type="gramEnd"/>
      <w:r w:rsidRPr="00B075A6">
        <w:rPr>
          <w:sz w:val="20"/>
          <w:szCs w:val="20"/>
        </w:rPr>
        <w:t xml:space="preserve"> IDs/TAIs. It can easily determine which of its served cells are in the list (since it knows the IDs of its own cells and the TAIs configured). It </w:t>
      </w:r>
      <w:r w:rsidRPr="00B075A6">
        <w:rPr>
          <w:sz w:val="20"/>
          <w:szCs w:val="20"/>
        </w:rPr>
        <w:lastRenderedPageBreak/>
        <w:t xml:space="preserve">then broadcasts accordingly. There is a bit more </w:t>
      </w:r>
      <w:r w:rsidRPr="00B075A6">
        <w:rPr>
          <w:rStyle w:val="Strong"/>
          <w:b w:val="0"/>
          <w:sz w:val="20"/>
          <w:szCs w:val="20"/>
        </w:rPr>
        <w:t>pre-processing in the core network</w:t>
      </w:r>
      <w:r w:rsidRPr="00B075A6">
        <w:rPr>
          <w:sz w:val="20"/>
          <w:szCs w:val="20"/>
        </w:rPr>
        <w:t xml:space="preserve"> instead – the core does the heavy lifting of determining that list. The </w:t>
      </w:r>
      <w:proofErr w:type="spellStart"/>
      <w:r w:rsidRPr="00B075A6">
        <w:rPr>
          <w:sz w:val="20"/>
          <w:szCs w:val="20"/>
        </w:rPr>
        <w:t>gNB’s</w:t>
      </w:r>
      <w:proofErr w:type="spellEnd"/>
      <w:r w:rsidRPr="00B075A6">
        <w:rPr>
          <w:sz w:val="20"/>
          <w:szCs w:val="20"/>
        </w:rPr>
        <w:t xml:space="preserve"> role is mostly relaying that info to UEs.</w:t>
      </w:r>
    </w:p>
    <w:p w14:paraId="14937664" w14:textId="77777777" w:rsidR="00B075A6" w:rsidRPr="00B075A6" w:rsidRDefault="00B075A6" w:rsidP="00B075A6">
      <w:pPr>
        <w:numPr>
          <w:ilvl w:val="0"/>
          <w:numId w:val="47"/>
        </w:numPr>
        <w:spacing w:before="100" w:beforeAutospacing="1" w:after="100" w:afterAutospacing="1"/>
        <w:rPr>
          <w:sz w:val="20"/>
          <w:szCs w:val="20"/>
        </w:rPr>
      </w:pPr>
      <w:r w:rsidRPr="00B075A6">
        <w:rPr>
          <w:rStyle w:val="Strong"/>
          <w:b w:val="0"/>
          <w:sz w:val="20"/>
          <w:szCs w:val="20"/>
        </w:rPr>
        <w:t>Efficiency in NGAP/RAN signaling:</w:t>
      </w:r>
      <w:r w:rsidRPr="00B075A6">
        <w:rPr>
          <w:sz w:val="20"/>
          <w:szCs w:val="20"/>
        </w:rPr>
        <w:t xml:space="preserve"> From RAN3 perspective, both proposals would likely occupy a similar field in the NGAP message (a transparent container). Proposal 1 might save signaling if one shape replaces a long list; however, NGAP can handle both a string or a list without issues. The frequency of updates is also a factor: if the service area does not change often, both approaches are one-time signaling at session start. If dynamic updates are needed (e.g., service area expands or moves), Proposal 1 can update by sending new coordinates, Proposal 2 by sending a new list – either way an update message is needed. In terms of RRC, a coordinate might be slightly heavier to transmit than a small list, but not significantly at typical sizes.</w:t>
      </w:r>
    </w:p>
    <w:p w14:paraId="783194C5" w14:textId="77777777" w:rsidR="00B075A6" w:rsidRPr="00B075A6" w:rsidRDefault="00B075A6" w:rsidP="00B075A6">
      <w:pPr>
        <w:numPr>
          <w:ilvl w:val="0"/>
          <w:numId w:val="47"/>
        </w:numPr>
        <w:spacing w:before="100" w:beforeAutospacing="1" w:after="100" w:afterAutospacing="1"/>
        <w:rPr>
          <w:sz w:val="20"/>
          <w:szCs w:val="20"/>
        </w:rPr>
      </w:pPr>
      <w:r w:rsidRPr="00B075A6">
        <w:rPr>
          <w:rStyle w:val="Strong"/>
          <w:b w:val="0"/>
          <w:sz w:val="20"/>
          <w:szCs w:val="20"/>
        </w:rPr>
        <w:t>UE Mobility and Service Continuity:</w:t>
      </w:r>
    </w:p>
    <w:p w14:paraId="21253D7C" w14:textId="77777777" w:rsidR="00B075A6" w:rsidRPr="00B075A6" w:rsidRDefault="00B075A6" w:rsidP="00B075A6">
      <w:pPr>
        <w:numPr>
          <w:ilvl w:val="1"/>
          <w:numId w:val="47"/>
        </w:numPr>
        <w:spacing w:before="100" w:beforeAutospacing="1" w:after="100" w:afterAutospacing="1"/>
        <w:rPr>
          <w:sz w:val="20"/>
          <w:szCs w:val="20"/>
        </w:rPr>
      </w:pPr>
      <w:r w:rsidRPr="00B075A6">
        <w:rPr>
          <w:sz w:val="20"/>
          <w:szCs w:val="20"/>
        </w:rPr>
        <w:t xml:space="preserve">With coordinates (Prop.1), a UE could detect that it is nearing the edge of the service area (if it continuously checks its location against the polygon). This could enable smoother transitions (the UE might prepare to switch to another service or know that loss is imminent). With list (Prop.2), the UE only knows when it has left an area after it has actually entered a new cell/TA not in the list (at which point the service likely stops). Both approaches rely on core network to actually stop sending data outside the area. In both proposals, when a UE moves out, it will stop receiving MBS content. The difference is in </w:t>
      </w:r>
      <w:r w:rsidRPr="00B075A6">
        <w:rPr>
          <w:rStyle w:val="Emphasis"/>
          <w:sz w:val="20"/>
          <w:szCs w:val="20"/>
        </w:rPr>
        <w:t>awareness</w:t>
      </w:r>
      <w:r w:rsidRPr="00B075A6">
        <w:rPr>
          <w:sz w:val="20"/>
          <w:szCs w:val="20"/>
        </w:rPr>
        <w:t xml:space="preserve"> – Prop.1 gives potentially early awareness, Prop.2 gives binary immediate awareness upon area change.</w:t>
      </w:r>
    </w:p>
    <w:p w14:paraId="2CB47186" w14:textId="77777777" w:rsidR="00B075A6" w:rsidRPr="00B075A6" w:rsidRDefault="00B075A6" w:rsidP="00B075A6">
      <w:pPr>
        <w:numPr>
          <w:ilvl w:val="1"/>
          <w:numId w:val="47"/>
        </w:numPr>
        <w:spacing w:before="100" w:beforeAutospacing="1" w:after="100" w:afterAutospacing="1"/>
        <w:rPr>
          <w:sz w:val="20"/>
          <w:szCs w:val="20"/>
        </w:rPr>
      </w:pPr>
      <w:r w:rsidRPr="00B075A6">
        <w:rPr>
          <w:sz w:val="20"/>
          <w:szCs w:val="20"/>
        </w:rPr>
        <w:t>If a UE moves from one service area to another (two different MBS broadcasts in different regions), coordinates could allow overlap or distinct partitioning easily (and UE might concurrently know about both if both are broadcast). With lists, if areas overlap or a cell belongs to two services, that has to be managed via possibly broadcasting multiple service IDs and their respective lists. It’s still doable (just more entries in SIB). No fundamental issue, but complexity grows with overlapping areas.</w:t>
      </w:r>
    </w:p>
    <w:p w14:paraId="2173F35B" w14:textId="77777777" w:rsidR="00B075A6" w:rsidRPr="00B075A6" w:rsidRDefault="00B075A6" w:rsidP="00B075A6">
      <w:pPr>
        <w:numPr>
          <w:ilvl w:val="0"/>
          <w:numId w:val="47"/>
        </w:numPr>
        <w:spacing w:before="100" w:beforeAutospacing="1" w:after="100" w:afterAutospacing="1"/>
        <w:rPr>
          <w:sz w:val="20"/>
          <w:szCs w:val="20"/>
        </w:rPr>
      </w:pPr>
      <w:r w:rsidRPr="00B075A6">
        <w:rPr>
          <w:rStyle w:val="Strong"/>
          <w:b w:val="0"/>
          <w:sz w:val="20"/>
          <w:szCs w:val="20"/>
        </w:rPr>
        <w:t>Applicability to Terrestrial MBS:</w:t>
      </w:r>
    </w:p>
    <w:p w14:paraId="784B9D15" w14:textId="77777777" w:rsidR="00B075A6" w:rsidRPr="00B075A6" w:rsidRDefault="00B075A6" w:rsidP="00B075A6">
      <w:pPr>
        <w:numPr>
          <w:ilvl w:val="1"/>
          <w:numId w:val="47"/>
        </w:numPr>
        <w:spacing w:before="100" w:beforeAutospacing="1" w:after="100" w:afterAutospacing="1"/>
        <w:rPr>
          <w:sz w:val="20"/>
          <w:szCs w:val="20"/>
        </w:rPr>
      </w:pPr>
      <w:r w:rsidRPr="00B075A6">
        <w:rPr>
          <w:sz w:val="20"/>
          <w:szCs w:val="20"/>
        </w:rPr>
        <w:t xml:space="preserve">Prop.1 can be applied terrestrially but many UEs may not utilize it due to lack of location. Terrestrial networks also often align broadcast services with administrative regions which coincide with tracking areas, so Prop.2 is naturally fitting for terrestrial (and indeed aligns with how </w:t>
      </w:r>
      <w:proofErr w:type="spellStart"/>
      <w:r w:rsidRPr="00B075A6">
        <w:rPr>
          <w:sz w:val="20"/>
          <w:szCs w:val="20"/>
        </w:rPr>
        <w:t>eMBMS</w:t>
      </w:r>
      <w:proofErr w:type="spellEnd"/>
      <w:r w:rsidRPr="00B075A6">
        <w:rPr>
          <w:sz w:val="20"/>
          <w:szCs w:val="20"/>
        </w:rPr>
        <w:t xml:space="preserve"> SAI worked). Prop.2 would be the straightforward way to implement location-dependent MBS in a cellular network today, as it doesn’t assume new UE capabilities.</w:t>
      </w:r>
    </w:p>
    <w:p w14:paraId="07D62339" w14:textId="77777777" w:rsidR="00B075A6" w:rsidRPr="00B075A6" w:rsidRDefault="00B075A6" w:rsidP="00B075A6">
      <w:pPr>
        <w:numPr>
          <w:ilvl w:val="1"/>
          <w:numId w:val="47"/>
        </w:numPr>
        <w:spacing w:before="100" w:beforeAutospacing="1" w:after="100" w:afterAutospacing="1"/>
        <w:rPr>
          <w:sz w:val="20"/>
          <w:szCs w:val="20"/>
        </w:rPr>
      </w:pPr>
      <w:r w:rsidRPr="00B075A6">
        <w:rPr>
          <w:sz w:val="20"/>
          <w:szCs w:val="20"/>
        </w:rPr>
        <w:t xml:space="preserve">Prop.2 in NTN is applicable, but one must ensure the tracking area planning for NTN is fine-grained enough to describe all possible target areas. If an NTN operator only defined one TAI for an entire country, they couldn’t differentiate smaller regions via list (except by listing individual cell IDs, which could be numerous). </w:t>
      </w:r>
      <w:proofErr w:type="gramStart"/>
      <w:r w:rsidRPr="00B075A6">
        <w:rPr>
          <w:sz w:val="20"/>
          <w:szCs w:val="20"/>
        </w:rPr>
        <w:t>So</w:t>
      </w:r>
      <w:proofErr w:type="gramEnd"/>
      <w:r w:rsidRPr="00B075A6">
        <w:rPr>
          <w:sz w:val="20"/>
          <w:szCs w:val="20"/>
        </w:rPr>
        <w:t xml:space="preserve"> adoption of Prop.2 might push for careful TA planning in NTNs.</w:t>
      </w:r>
    </w:p>
    <w:p w14:paraId="3D11E719" w14:textId="77777777" w:rsidR="00B075A6" w:rsidRPr="00B075A6" w:rsidRDefault="00B075A6" w:rsidP="00B075A6">
      <w:pPr>
        <w:spacing w:before="100" w:beforeAutospacing="1" w:after="100" w:afterAutospacing="1"/>
        <w:rPr>
          <w:sz w:val="20"/>
          <w:szCs w:val="20"/>
        </w:rPr>
      </w:pPr>
      <w:r w:rsidRPr="00B075A6">
        <w:rPr>
          <w:sz w:val="20"/>
          <w:szCs w:val="20"/>
        </w:rPr>
        <w:t xml:space="preserve">The comparison highlights that </w:t>
      </w:r>
      <w:r w:rsidRPr="00B075A6">
        <w:rPr>
          <w:rStyle w:val="Strong"/>
          <w:b w:val="0"/>
          <w:sz w:val="20"/>
          <w:szCs w:val="20"/>
        </w:rPr>
        <w:t>Proposal 1 favors precision and future-proof flexibility, at the cost of relying on UE location capability</w:t>
      </w:r>
      <w:r w:rsidRPr="00B075A6">
        <w:rPr>
          <w:sz w:val="20"/>
          <w:szCs w:val="20"/>
        </w:rPr>
        <w:t xml:space="preserve">, whereas </w:t>
      </w:r>
      <w:r w:rsidRPr="00B075A6">
        <w:rPr>
          <w:rStyle w:val="Strong"/>
          <w:b w:val="0"/>
          <w:sz w:val="20"/>
          <w:szCs w:val="20"/>
        </w:rPr>
        <w:t>Proposal 2 favors simplicity and compatibility, at the cost of some loss in specificity</w:t>
      </w:r>
      <w:r w:rsidRPr="00B075A6">
        <w:rPr>
          <w:sz w:val="20"/>
          <w:szCs w:val="20"/>
        </w:rPr>
        <w:t>.</w:t>
      </w:r>
    </w:p>
    <w:p w14:paraId="7C3D6BC0" w14:textId="7AE93FB0" w:rsidR="00B075A6" w:rsidRDefault="00B075A6" w:rsidP="00B075A6">
      <w:pPr>
        <w:pStyle w:val="Heading1"/>
      </w:pPr>
      <w:r>
        <w:t>NTN-Specific Considerations</w:t>
      </w:r>
    </w:p>
    <w:p w14:paraId="613D3E45" w14:textId="058AB64F" w:rsidR="00B075A6" w:rsidRDefault="00B075A6" w:rsidP="00B075A6"/>
    <w:p w14:paraId="39E161C4" w14:textId="77777777" w:rsidR="00B075A6" w:rsidRPr="00B075A6" w:rsidRDefault="00B075A6" w:rsidP="00B075A6">
      <w:pPr>
        <w:spacing w:before="100" w:beforeAutospacing="1" w:after="100" w:afterAutospacing="1"/>
        <w:rPr>
          <w:rFonts w:eastAsia="Times New Roman"/>
          <w:sz w:val="20"/>
          <w:szCs w:val="20"/>
          <w:lang w:val="en-IN" w:eastAsia="en-IN"/>
        </w:rPr>
      </w:pPr>
      <w:r w:rsidRPr="00B075A6">
        <w:rPr>
          <w:rFonts w:eastAsia="Times New Roman"/>
          <w:sz w:val="20"/>
          <w:szCs w:val="20"/>
          <w:lang w:val="en-IN" w:eastAsia="en-IN"/>
        </w:rPr>
        <w:t xml:space="preserve">Non-Terrestrial Networks pose unique challenges that influence the choice of </w:t>
      </w:r>
      <w:proofErr w:type="spellStart"/>
      <w:r w:rsidRPr="00B075A6">
        <w:rPr>
          <w:rFonts w:eastAsia="Times New Roman"/>
          <w:sz w:val="20"/>
          <w:szCs w:val="20"/>
          <w:lang w:val="en-IN" w:eastAsia="en-IN"/>
        </w:rPr>
        <w:t>signaling</w:t>
      </w:r>
      <w:proofErr w:type="spellEnd"/>
      <w:r w:rsidRPr="00B075A6">
        <w:rPr>
          <w:rFonts w:eastAsia="Times New Roman"/>
          <w:sz w:val="20"/>
          <w:szCs w:val="20"/>
          <w:lang w:val="en-IN" w:eastAsia="en-IN"/>
        </w:rPr>
        <w:t xml:space="preserve"> method:</w:t>
      </w:r>
    </w:p>
    <w:p w14:paraId="1670608A" w14:textId="77777777" w:rsidR="00B075A6" w:rsidRPr="00B075A6" w:rsidRDefault="00B075A6" w:rsidP="00B075A6">
      <w:pPr>
        <w:numPr>
          <w:ilvl w:val="0"/>
          <w:numId w:val="48"/>
        </w:numPr>
        <w:spacing w:before="100" w:beforeAutospacing="1" w:after="100" w:afterAutospacing="1"/>
        <w:rPr>
          <w:rFonts w:eastAsia="Times New Roman"/>
          <w:sz w:val="20"/>
          <w:szCs w:val="20"/>
          <w:lang w:val="en-IN" w:eastAsia="en-IN"/>
        </w:rPr>
      </w:pPr>
      <w:r w:rsidRPr="00B075A6">
        <w:rPr>
          <w:rFonts w:eastAsia="Times New Roman"/>
          <w:bCs/>
          <w:sz w:val="20"/>
          <w:szCs w:val="20"/>
          <w:lang w:val="en-IN" w:eastAsia="en-IN"/>
        </w:rPr>
        <w:t>Satellite Footprint Size &amp; Shape:</w:t>
      </w:r>
      <w:r w:rsidRPr="00B075A6">
        <w:rPr>
          <w:rFonts w:eastAsia="Times New Roman"/>
          <w:sz w:val="20"/>
          <w:szCs w:val="20"/>
          <w:lang w:val="en-IN" w:eastAsia="en-IN"/>
        </w:rPr>
        <w:t xml:space="preserve"> Satellite beams (cells) can be very large and not necessarily aligned to political or logical service boundaries. For example, a GEO satellite might have a beam covering half of a continent. If a broadcast is meant for only a country within that beam, Proposal 1 would allow broadcasting the country boundary as the intended area (so UEs outside that country but under the beam know it’s not for them), whereas Proposal 2 would have to list the entire beam’s cell ID (meaning all UEs under the beam think it’s for them). This suggests a strong use-case for the coordinate approach in super-national beams. On the other hand, if the satellite network had pre-divided its footprint into smaller tracking areas (e.g., per country or region), then listing those TAIs (Prop.2) achieves a similar effect.</w:t>
      </w:r>
    </w:p>
    <w:p w14:paraId="3F1B37C5" w14:textId="45902759" w:rsidR="00B075A6" w:rsidRPr="00B075A6" w:rsidRDefault="00B075A6" w:rsidP="009D733F">
      <w:pPr>
        <w:numPr>
          <w:ilvl w:val="0"/>
          <w:numId w:val="48"/>
        </w:numPr>
        <w:spacing w:before="100" w:beforeAutospacing="1" w:after="0" w:afterAutospacing="1"/>
        <w:rPr>
          <w:rFonts w:eastAsia="Times New Roman"/>
          <w:sz w:val="20"/>
          <w:szCs w:val="20"/>
          <w:lang w:val="en-IN" w:eastAsia="en-IN"/>
        </w:rPr>
      </w:pPr>
      <w:r w:rsidRPr="00B075A6">
        <w:rPr>
          <w:rFonts w:eastAsia="Times New Roman"/>
          <w:bCs/>
          <w:sz w:val="20"/>
          <w:szCs w:val="20"/>
          <w:lang w:val="en-IN" w:eastAsia="en-IN"/>
        </w:rPr>
        <w:t>Beam Movement (NGSO satellites):</w:t>
      </w:r>
      <w:r w:rsidRPr="00B075A6">
        <w:rPr>
          <w:rFonts w:eastAsia="Times New Roman"/>
          <w:sz w:val="20"/>
          <w:szCs w:val="20"/>
          <w:lang w:val="en-IN" w:eastAsia="en-IN"/>
        </w:rPr>
        <w:t xml:space="preserve"> In NGSO constellations (LEO/MEO), beams move relative to the ground. Operators often implement </w:t>
      </w:r>
      <w:r w:rsidRPr="00B075A6">
        <w:rPr>
          <w:rFonts w:eastAsia="Times New Roman"/>
          <w:bCs/>
          <w:sz w:val="20"/>
          <w:szCs w:val="20"/>
          <w:lang w:val="en-IN" w:eastAsia="en-IN"/>
        </w:rPr>
        <w:t>earth-fixed cells or tracking areas</w:t>
      </w:r>
      <w:r w:rsidRPr="00B075A6">
        <w:rPr>
          <w:rFonts w:eastAsia="Times New Roman"/>
          <w:sz w:val="20"/>
          <w:szCs w:val="20"/>
          <w:lang w:val="en-IN" w:eastAsia="en-IN"/>
        </w:rPr>
        <w:t xml:space="preserve"> – essentially handing over UEs </w:t>
      </w:r>
      <w:r w:rsidRPr="00B075A6">
        <w:rPr>
          <w:rFonts w:eastAsia="Times New Roman"/>
          <w:sz w:val="20"/>
          <w:szCs w:val="20"/>
          <w:lang w:val="en-IN" w:eastAsia="en-IN"/>
        </w:rPr>
        <w:lastRenderedPageBreak/>
        <w:t xml:space="preserve">between beams to keep them “in the same TA” as much as possible​. However, some change is inevitable when satellites switch. In a coordinate system (Prop.1), the service area is tied to the geography (earth-fixed), which naturally suits an earth-fixed service concept (e.g., “cover New York City regardless of which satellite is overhead”). UEs and the network don’t need to change the </w:t>
      </w:r>
      <w:proofErr w:type="spellStart"/>
      <w:r w:rsidRPr="00B075A6">
        <w:rPr>
          <w:rFonts w:eastAsia="Times New Roman"/>
          <w:sz w:val="20"/>
          <w:szCs w:val="20"/>
          <w:lang w:val="en-IN" w:eastAsia="en-IN"/>
        </w:rPr>
        <w:t>signaled</w:t>
      </w:r>
      <w:proofErr w:type="spellEnd"/>
      <w:r w:rsidRPr="00B075A6">
        <w:rPr>
          <w:rFonts w:eastAsia="Times New Roman"/>
          <w:sz w:val="20"/>
          <w:szCs w:val="20"/>
          <w:lang w:val="en-IN" w:eastAsia="en-IN"/>
        </w:rPr>
        <w:t xml:space="preserve"> polygon as satellites pass. In the list approach (Prop.2), the network might need to update which cell IDs or TAIs are serving that area as satellites move. Ideally, if TAI is earth-fixed, the UE might stay in the same TAI across satellite handovers, which means the broadcast continues without change. But if a satellite footprint boundary causes a TAI change at the edge of the area, the service could momentarily drop unless that new TAI was also in the list. To </w:t>
      </w:r>
      <w:proofErr w:type="spellStart"/>
      <w:r w:rsidRPr="00B075A6">
        <w:rPr>
          <w:rFonts w:eastAsia="Times New Roman"/>
          <w:sz w:val="20"/>
          <w:szCs w:val="20"/>
          <w:lang w:val="en-IN" w:eastAsia="en-IN"/>
        </w:rPr>
        <w:t>preempt</w:t>
      </w:r>
      <w:proofErr w:type="spellEnd"/>
      <w:r w:rsidRPr="00B075A6">
        <w:rPr>
          <w:rFonts w:eastAsia="Times New Roman"/>
          <w:sz w:val="20"/>
          <w:szCs w:val="20"/>
          <w:lang w:val="en-IN" w:eastAsia="en-IN"/>
        </w:rPr>
        <w:t xml:space="preserve"> this, the core could include </w:t>
      </w:r>
      <w:r w:rsidRPr="00B075A6">
        <w:rPr>
          <w:rFonts w:eastAsia="Times New Roman"/>
          <w:i/>
          <w:iCs/>
          <w:sz w:val="20"/>
          <w:szCs w:val="20"/>
          <w:lang w:val="en-IN" w:eastAsia="en-IN"/>
        </w:rPr>
        <w:t>all</w:t>
      </w:r>
      <w:r w:rsidRPr="00B075A6">
        <w:rPr>
          <w:rFonts w:eastAsia="Times New Roman"/>
          <w:sz w:val="20"/>
          <w:szCs w:val="20"/>
          <w:lang w:val="en-IN" w:eastAsia="en-IN"/>
        </w:rPr>
        <w:t xml:space="preserve"> TAIs that will ever cover the region during the session. This could inflate the list but is manageable if known. Still, Prop.1 </w:t>
      </w:r>
      <w:proofErr w:type="gramStart"/>
      <w:r w:rsidRPr="00B075A6">
        <w:rPr>
          <w:rFonts w:eastAsia="Times New Roman"/>
          <w:sz w:val="20"/>
          <w:szCs w:val="20"/>
          <w:lang w:val="en-IN" w:eastAsia="en-IN"/>
        </w:rPr>
        <w:t>handles</w:t>
      </w:r>
      <w:proofErr w:type="gramEnd"/>
      <w:r w:rsidRPr="00B075A6">
        <w:rPr>
          <w:rFonts w:eastAsia="Times New Roman"/>
          <w:sz w:val="20"/>
          <w:szCs w:val="20"/>
          <w:lang w:val="en-IN" w:eastAsia="en-IN"/>
        </w:rPr>
        <w:t xml:space="preserve"> this more gracefully by design (the area doesn’t depend on which cell covers it at a given time).</w:t>
      </w:r>
    </w:p>
    <w:p w14:paraId="12376785" w14:textId="77777777" w:rsidR="00B075A6" w:rsidRPr="00B075A6" w:rsidRDefault="00B075A6" w:rsidP="00B075A6">
      <w:pPr>
        <w:numPr>
          <w:ilvl w:val="0"/>
          <w:numId w:val="48"/>
        </w:numPr>
        <w:spacing w:before="100" w:beforeAutospacing="1" w:after="100" w:afterAutospacing="1"/>
        <w:rPr>
          <w:rFonts w:eastAsia="Times New Roman"/>
          <w:sz w:val="20"/>
          <w:szCs w:val="20"/>
          <w:lang w:val="en-IN" w:eastAsia="en-IN"/>
        </w:rPr>
      </w:pPr>
      <w:r w:rsidRPr="00B075A6">
        <w:rPr>
          <w:rFonts w:eastAsia="Times New Roman"/>
          <w:bCs/>
          <w:sz w:val="20"/>
          <w:szCs w:val="20"/>
          <w:lang w:val="en-IN" w:eastAsia="en-IN"/>
        </w:rPr>
        <w:t xml:space="preserve">Regenerative Payload (on-board </w:t>
      </w:r>
      <w:proofErr w:type="spellStart"/>
      <w:r w:rsidRPr="00B075A6">
        <w:rPr>
          <w:rFonts w:eastAsia="Times New Roman"/>
          <w:bCs/>
          <w:sz w:val="20"/>
          <w:szCs w:val="20"/>
          <w:lang w:val="en-IN" w:eastAsia="en-IN"/>
        </w:rPr>
        <w:t>gNB</w:t>
      </w:r>
      <w:proofErr w:type="spellEnd"/>
      <w:r w:rsidRPr="00B075A6">
        <w:rPr>
          <w:rFonts w:eastAsia="Times New Roman"/>
          <w:bCs/>
          <w:sz w:val="20"/>
          <w:szCs w:val="20"/>
          <w:lang w:val="en-IN" w:eastAsia="en-IN"/>
        </w:rPr>
        <w:t>):</w:t>
      </w:r>
      <w:r w:rsidRPr="00B075A6">
        <w:rPr>
          <w:rFonts w:eastAsia="Times New Roman"/>
          <w:sz w:val="20"/>
          <w:szCs w:val="20"/>
          <w:lang w:val="en-IN" w:eastAsia="en-IN"/>
        </w:rPr>
        <w:t xml:space="preserve"> In regenerative NTN, the </w:t>
      </w:r>
      <w:proofErr w:type="spellStart"/>
      <w:r w:rsidRPr="00B075A6">
        <w:rPr>
          <w:rFonts w:eastAsia="Times New Roman"/>
          <w:sz w:val="20"/>
          <w:szCs w:val="20"/>
          <w:lang w:val="en-IN" w:eastAsia="en-IN"/>
        </w:rPr>
        <w:t>gNB</w:t>
      </w:r>
      <w:proofErr w:type="spellEnd"/>
      <w:r w:rsidRPr="00B075A6">
        <w:rPr>
          <w:rFonts w:eastAsia="Times New Roman"/>
          <w:sz w:val="20"/>
          <w:szCs w:val="20"/>
          <w:lang w:val="en-IN" w:eastAsia="en-IN"/>
        </w:rPr>
        <w:t xml:space="preserve"> itself is on the satellite and may cover multiple spot beams. This means a single </w:t>
      </w:r>
      <w:proofErr w:type="spellStart"/>
      <w:r w:rsidRPr="00B075A6">
        <w:rPr>
          <w:rFonts w:eastAsia="Times New Roman"/>
          <w:sz w:val="20"/>
          <w:szCs w:val="20"/>
          <w:lang w:val="en-IN" w:eastAsia="en-IN"/>
        </w:rPr>
        <w:t>gNB</w:t>
      </w:r>
      <w:proofErr w:type="spellEnd"/>
      <w:r w:rsidRPr="00B075A6">
        <w:rPr>
          <w:rFonts w:eastAsia="Times New Roman"/>
          <w:sz w:val="20"/>
          <w:szCs w:val="20"/>
          <w:lang w:val="en-IN" w:eastAsia="en-IN"/>
        </w:rPr>
        <w:t xml:space="preserve"> entity might handle many cells. If only a subset of those beams </w:t>
      </w:r>
      <w:proofErr w:type="gramStart"/>
      <w:r w:rsidRPr="00B075A6">
        <w:rPr>
          <w:rFonts w:eastAsia="Times New Roman"/>
          <w:sz w:val="20"/>
          <w:szCs w:val="20"/>
          <w:lang w:val="en-IN" w:eastAsia="en-IN"/>
        </w:rPr>
        <w:t>are</w:t>
      </w:r>
      <w:proofErr w:type="gramEnd"/>
      <w:r w:rsidRPr="00B075A6">
        <w:rPr>
          <w:rFonts w:eastAsia="Times New Roman"/>
          <w:sz w:val="20"/>
          <w:szCs w:val="20"/>
          <w:lang w:val="en-IN" w:eastAsia="en-IN"/>
        </w:rPr>
        <w:t xml:space="preserve"> to carry the MBS, the </w:t>
      </w:r>
      <w:proofErr w:type="spellStart"/>
      <w:r w:rsidRPr="00B075A6">
        <w:rPr>
          <w:rFonts w:eastAsia="Times New Roman"/>
          <w:sz w:val="20"/>
          <w:szCs w:val="20"/>
          <w:lang w:val="en-IN" w:eastAsia="en-IN"/>
        </w:rPr>
        <w:t>gNB</w:t>
      </w:r>
      <w:proofErr w:type="spellEnd"/>
      <w:r w:rsidRPr="00B075A6">
        <w:rPr>
          <w:rFonts w:eastAsia="Times New Roman"/>
          <w:sz w:val="20"/>
          <w:szCs w:val="20"/>
          <w:lang w:val="en-IN" w:eastAsia="en-IN"/>
        </w:rPr>
        <w:t xml:space="preserve"> must be informed accordingly. With Prop.1, the </w:t>
      </w:r>
      <w:proofErr w:type="spellStart"/>
      <w:r w:rsidRPr="00B075A6">
        <w:rPr>
          <w:rFonts w:eastAsia="Times New Roman"/>
          <w:sz w:val="20"/>
          <w:szCs w:val="20"/>
          <w:lang w:val="en-IN" w:eastAsia="en-IN"/>
        </w:rPr>
        <w:t>gNB</w:t>
      </w:r>
      <w:proofErr w:type="spellEnd"/>
      <w:r w:rsidRPr="00B075A6">
        <w:rPr>
          <w:rFonts w:eastAsia="Times New Roman"/>
          <w:sz w:val="20"/>
          <w:szCs w:val="20"/>
          <w:lang w:val="en-IN" w:eastAsia="en-IN"/>
        </w:rPr>
        <w:t xml:space="preserve"> gets a polygon – it would need to know which of its beams intersect that polygon to know where to schedule the MBS radio bearers. That implies some geometric computation in the </w:t>
      </w:r>
      <w:proofErr w:type="spellStart"/>
      <w:r w:rsidRPr="00B075A6">
        <w:rPr>
          <w:rFonts w:eastAsia="Times New Roman"/>
          <w:sz w:val="20"/>
          <w:szCs w:val="20"/>
          <w:lang w:val="en-IN" w:eastAsia="en-IN"/>
        </w:rPr>
        <w:t>gNB</w:t>
      </w:r>
      <w:proofErr w:type="spellEnd"/>
      <w:r w:rsidRPr="00B075A6">
        <w:rPr>
          <w:rFonts w:eastAsia="Times New Roman"/>
          <w:sz w:val="20"/>
          <w:szCs w:val="20"/>
          <w:lang w:val="en-IN" w:eastAsia="en-IN"/>
        </w:rPr>
        <w:t xml:space="preserve"> (or more likely, the network would break down the polygon per </w:t>
      </w:r>
      <w:proofErr w:type="spellStart"/>
      <w:r w:rsidRPr="00B075A6">
        <w:rPr>
          <w:rFonts w:eastAsia="Times New Roman"/>
          <w:sz w:val="20"/>
          <w:szCs w:val="20"/>
          <w:lang w:val="en-IN" w:eastAsia="en-IN"/>
        </w:rPr>
        <w:t>gNB</w:t>
      </w:r>
      <w:proofErr w:type="spellEnd"/>
      <w:r w:rsidRPr="00B075A6">
        <w:rPr>
          <w:rFonts w:eastAsia="Times New Roman"/>
          <w:sz w:val="20"/>
          <w:szCs w:val="20"/>
          <w:lang w:val="en-IN" w:eastAsia="en-IN"/>
        </w:rPr>
        <w:t xml:space="preserve"> in advance). With Prop.2, the core can just send the list of cell IDs (beam IDs) that the on-board </w:t>
      </w:r>
      <w:proofErr w:type="spellStart"/>
      <w:r w:rsidRPr="00B075A6">
        <w:rPr>
          <w:rFonts w:eastAsia="Times New Roman"/>
          <w:sz w:val="20"/>
          <w:szCs w:val="20"/>
          <w:lang w:val="en-IN" w:eastAsia="en-IN"/>
        </w:rPr>
        <w:t>gNB</w:t>
      </w:r>
      <w:proofErr w:type="spellEnd"/>
      <w:r w:rsidRPr="00B075A6">
        <w:rPr>
          <w:rFonts w:eastAsia="Times New Roman"/>
          <w:sz w:val="20"/>
          <w:szCs w:val="20"/>
          <w:lang w:val="en-IN" w:eastAsia="en-IN"/>
        </w:rPr>
        <w:t xml:space="preserve"> should use for the broadcast – very direct for the </w:t>
      </w:r>
      <w:proofErr w:type="spellStart"/>
      <w:r w:rsidRPr="00B075A6">
        <w:rPr>
          <w:rFonts w:eastAsia="Times New Roman"/>
          <w:sz w:val="20"/>
          <w:szCs w:val="20"/>
          <w:lang w:val="en-IN" w:eastAsia="en-IN"/>
        </w:rPr>
        <w:t>gNB</w:t>
      </w:r>
      <w:proofErr w:type="spellEnd"/>
      <w:r w:rsidRPr="00B075A6">
        <w:rPr>
          <w:rFonts w:eastAsia="Times New Roman"/>
          <w:sz w:val="20"/>
          <w:szCs w:val="20"/>
          <w:lang w:val="en-IN" w:eastAsia="en-IN"/>
        </w:rPr>
        <w:t xml:space="preserve"> to apply. Thus, for regenerative payloads with multiple spot beams, Prop.2 gives the </w:t>
      </w:r>
      <w:proofErr w:type="spellStart"/>
      <w:r w:rsidRPr="00B075A6">
        <w:rPr>
          <w:rFonts w:eastAsia="Times New Roman"/>
          <w:sz w:val="20"/>
          <w:szCs w:val="20"/>
          <w:lang w:val="en-IN" w:eastAsia="en-IN"/>
        </w:rPr>
        <w:t>gNB</w:t>
      </w:r>
      <w:proofErr w:type="spellEnd"/>
      <w:r w:rsidRPr="00B075A6">
        <w:rPr>
          <w:rFonts w:eastAsia="Times New Roman"/>
          <w:sz w:val="20"/>
          <w:szCs w:val="20"/>
          <w:lang w:val="en-IN" w:eastAsia="en-IN"/>
        </w:rPr>
        <w:t xml:space="preserve"> explicit beam-by-beam instructions, while Prop.1 would require the </w:t>
      </w:r>
      <w:proofErr w:type="spellStart"/>
      <w:r w:rsidRPr="00B075A6">
        <w:rPr>
          <w:rFonts w:eastAsia="Times New Roman"/>
          <w:sz w:val="20"/>
          <w:szCs w:val="20"/>
          <w:lang w:val="en-IN" w:eastAsia="en-IN"/>
        </w:rPr>
        <w:t>gNB</w:t>
      </w:r>
      <w:proofErr w:type="spellEnd"/>
      <w:r w:rsidRPr="00B075A6">
        <w:rPr>
          <w:rFonts w:eastAsia="Times New Roman"/>
          <w:sz w:val="20"/>
          <w:szCs w:val="20"/>
          <w:lang w:val="en-IN" w:eastAsia="en-IN"/>
        </w:rPr>
        <w:t xml:space="preserve"> to internally map coordinates to beams. This could be a deciding factor if we want to minimize new functionality in the </w:t>
      </w:r>
      <w:proofErr w:type="spellStart"/>
      <w:r w:rsidRPr="00B075A6">
        <w:rPr>
          <w:rFonts w:eastAsia="Times New Roman"/>
          <w:sz w:val="20"/>
          <w:szCs w:val="20"/>
          <w:lang w:val="en-IN" w:eastAsia="en-IN"/>
        </w:rPr>
        <w:t>gNB</w:t>
      </w:r>
      <w:proofErr w:type="spellEnd"/>
      <w:r w:rsidRPr="00B075A6">
        <w:rPr>
          <w:rFonts w:eastAsia="Times New Roman"/>
          <w:sz w:val="20"/>
          <w:szCs w:val="20"/>
          <w:lang w:val="en-IN" w:eastAsia="en-IN"/>
        </w:rPr>
        <w:t>. However, the core could also send coordinates plus a hint of which beams – there are multiple design options (e.g., sending multiple coordinate descriptors each roughly matching a beam footprint).</w:t>
      </w:r>
    </w:p>
    <w:p w14:paraId="728B22D1" w14:textId="77777777" w:rsidR="00B075A6" w:rsidRPr="00B075A6" w:rsidRDefault="00B075A6" w:rsidP="00B075A6">
      <w:pPr>
        <w:numPr>
          <w:ilvl w:val="0"/>
          <w:numId w:val="48"/>
        </w:numPr>
        <w:spacing w:before="100" w:beforeAutospacing="1" w:after="100" w:afterAutospacing="1"/>
        <w:rPr>
          <w:rFonts w:eastAsia="Times New Roman"/>
          <w:sz w:val="20"/>
          <w:szCs w:val="20"/>
          <w:lang w:val="en-IN" w:eastAsia="en-IN"/>
        </w:rPr>
      </w:pPr>
      <w:r w:rsidRPr="00B075A6">
        <w:rPr>
          <w:rFonts w:eastAsia="Times New Roman"/>
          <w:bCs/>
          <w:sz w:val="20"/>
          <w:szCs w:val="20"/>
          <w:lang w:val="en-IN" w:eastAsia="en-IN"/>
        </w:rPr>
        <w:t>Delay and Reliability:</w:t>
      </w:r>
      <w:r w:rsidRPr="00B075A6">
        <w:rPr>
          <w:rFonts w:eastAsia="Times New Roman"/>
          <w:sz w:val="20"/>
          <w:szCs w:val="20"/>
          <w:lang w:val="en-IN" w:eastAsia="en-IN"/>
        </w:rPr>
        <w:t xml:space="preserve"> NTN links have long round-trip times. If the service area information needs to be updated or corrected, a coordinate description might be slightly heavier to send than a terse list. But this difference is minor compared to satellite latency. Both proposals should be designed so that frequent updates are not needed in the first place. (For instance, an emergency alert might be pre-defined for a given region and not change). From a reliability standpoint, both the coordinate and list info would be part of system information which is periodically repeated, so UEs have multiple chances to receive it. There’s no clear NTN disadvantage for either in this aspect.</w:t>
      </w:r>
    </w:p>
    <w:p w14:paraId="5EC3B365" w14:textId="77777777" w:rsidR="00B075A6" w:rsidRPr="00B075A6" w:rsidRDefault="00B075A6" w:rsidP="00B075A6">
      <w:pPr>
        <w:numPr>
          <w:ilvl w:val="0"/>
          <w:numId w:val="48"/>
        </w:numPr>
        <w:spacing w:before="100" w:beforeAutospacing="1" w:after="100" w:afterAutospacing="1"/>
        <w:rPr>
          <w:rFonts w:eastAsia="Times New Roman"/>
          <w:sz w:val="20"/>
          <w:szCs w:val="20"/>
          <w:lang w:val="en-IN" w:eastAsia="en-IN"/>
        </w:rPr>
      </w:pPr>
      <w:r w:rsidRPr="00B075A6">
        <w:rPr>
          <w:rFonts w:eastAsia="Times New Roman"/>
          <w:bCs/>
          <w:sz w:val="20"/>
          <w:szCs w:val="20"/>
          <w:lang w:val="en-IN" w:eastAsia="en-IN"/>
        </w:rPr>
        <w:t>Interoperability with Terrestrial Components:</w:t>
      </w:r>
      <w:r w:rsidRPr="00B075A6">
        <w:rPr>
          <w:rFonts w:eastAsia="Times New Roman"/>
          <w:sz w:val="20"/>
          <w:szCs w:val="20"/>
          <w:lang w:val="en-IN" w:eastAsia="en-IN"/>
        </w:rPr>
        <w:t xml:space="preserve"> Some NTN scenarios involve hybrid networks (satellite and terrestrial cells in tandem). If a broadcast service can be offered via satellite in remote areas and via terrestrial in cities, having a common method is beneficial. Prop.2 (TAI/cell list) could seamlessly cover both – just list both satellite cells and terrestrial cells IDs in one combined list (assuming coordination between operators). Prop.1 could also cover both by a shape that spans both satellite and terrestrial footprints. However, terrestrial cells are small and might mosaic oddly with a satellite beam; a list might be easier to compile in that case. This goes into deployment-specific territory, but it’s worth noting if standardizing one method, how it would work in a mixed network.</w:t>
      </w:r>
    </w:p>
    <w:p w14:paraId="14C6131E" w14:textId="77777777" w:rsidR="00B075A6" w:rsidRPr="00B075A6" w:rsidRDefault="00B075A6" w:rsidP="00B075A6">
      <w:pPr>
        <w:spacing w:before="100" w:beforeAutospacing="1" w:after="100" w:afterAutospacing="1"/>
        <w:rPr>
          <w:rFonts w:eastAsia="Times New Roman"/>
          <w:sz w:val="20"/>
          <w:szCs w:val="20"/>
          <w:lang w:val="en-IN" w:eastAsia="en-IN"/>
        </w:rPr>
      </w:pPr>
      <w:r w:rsidRPr="00B075A6">
        <w:rPr>
          <w:rFonts w:eastAsia="Times New Roman"/>
          <w:sz w:val="20"/>
          <w:szCs w:val="20"/>
          <w:lang w:val="en-IN" w:eastAsia="en-IN"/>
        </w:rPr>
        <w:t xml:space="preserve">In conclusion for NTN aspects: </w:t>
      </w:r>
      <w:r w:rsidRPr="00B075A6">
        <w:rPr>
          <w:rFonts w:eastAsia="Times New Roman"/>
          <w:bCs/>
          <w:sz w:val="20"/>
          <w:szCs w:val="20"/>
          <w:lang w:val="en-IN" w:eastAsia="en-IN"/>
        </w:rPr>
        <w:t>Proposal 1</w:t>
      </w:r>
      <w:r w:rsidRPr="00B075A6">
        <w:rPr>
          <w:rFonts w:eastAsia="Times New Roman"/>
          <w:sz w:val="20"/>
          <w:szCs w:val="20"/>
          <w:lang w:val="en-IN" w:eastAsia="en-IN"/>
        </w:rPr>
        <w:t xml:space="preserve"> shines in scenarios where the </w:t>
      </w:r>
      <w:r w:rsidRPr="00B075A6">
        <w:rPr>
          <w:rFonts w:eastAsia="Times New Roman"/>
          <w:i/>
          <w:iCs/>
          <w:sz w:val="20"/>
          <w:szCs w:val="20"/>
          <w:lang w:val="en-IN" w:eastAsia="en-IN"/>
        </w:rPr>
        <w:t>service area is defined in earth-fixed geographic terms and does not align with static network areas</w:t>
      </w:r>
      <w:r w:rsidRPr="00B075A6">
        <w:rPr>
          <w:rFonts w:eastAsia="Times New Roman"/>
          <w:sz w:val="20"/>
          <w:szCs w:val="20"/>
          <w:lang w:val="en-IN" w:eastAsia="en-IN"/>
        </w:rPr>
        <w:t xml:space="preserve">, which is often true in NTN (given large, moving coverage). </w:t>
      </w:r>
      <w:r w:rsidRPr="00B075A6">
        <w:rPr>
          <w:rFonts w:eastAsia="Times New Roman"/>
          <w:bCs/>
          <w:sz w:val="20"/>
          <w:szCs w:val="20"/>
          <w:lang w:val="en-IN" w:eastAsia="en-IN"/>
        </w:rPr>
        <w:t>Proposal 2</w:t>
      </w:r>
      <w:r w:rsidRPr="00B075A6">
        <w:rPr>
          <w:rFonts w:eastAsia="Times New Roman"/>
          <w:sz w:val="20"/>
          <w:szCs w:val="20"/>
          <w:lang w:val="en-IN" w:eastAsia="en-IN"/>
        </w:rPr>
        <w:t xml:space="preserve"> aligns with how networks typically route and manage areas (TAs), and can work in NTN if the network design accounts for it (static or sufficiently granular tracking areas). An operator with a very dynamic beam layout might </w:t>
      </w:r>
      <w:proofErr w:type="spellStart"/>
      <w:r w:rsidRPr="00B075A6">
        <w:rPr>
          <w:rFonts w:eastAsia="Times New Roman"/>
          <w:sz w:val="20"/>
          <w:szCs w:val="20"/>
          <w:lang w:val="en-IN" w:eastAsia="en-IN"/>
        </w:rPr>
        <w:t>favor</w:t>
      </w:r>
      <w:proofErr w:type="spellEnd"/>
      <w:r w:rsidRPr="00B075A6">
        <w:rPr>
          <w:rFonts w:eastAsia="Times New Roman"/>
          <w:sz w:val="20"/>
          <w:szCs w:val="20"/>
          <w:lang w:val="en-IN" w:eastAsia="en-IN"/>
        </w:rPr>
        <w:t xml:space="preserve"> the coordinate approach for its adaptability, whereas an operator that can enforce strict mapping of beams to region codes might prefer the list approach for its simplicity. RAN3 should consider requiring minimal assumptions on NTN deployment – a coordinate-based solution would be more deployment-agnostic (works whether or not TAs are earth-fixed, etc.), whereas an ID-list solution relies on the deployment using those IDs cleverly.</w:t>
      </w:r>
    </w:p>
    <w:p w14:paraId="3580B4FD" w14:textId="443A3094" w:rsidR="00B075A6" w:rsidRDefault="00B075A6" w:rsidP="00B075A6">
      <w:pPr>
        <w:pStyle w:val="Heading1"/>
      </w:pPr>
      <w:r>
        <w:t>Conclusion</w:t>
      </w:r>
    </w:p>
    <w:p w14:paraId="7AE49165" w14:textId="19F1B374" w:rsidR="00B075A6" w:rsidRPr="00B075A6" w:rsidRDefault="00B075A6" w:rsidP="00B075A6">
      <w:pPr>
        <w:spacing w:before="100" w:beforeAutospacing="1" w:after="100" w:afterAutospacing="1"/>
        <w:rPr>
          <w:rFonts w:eastAsia="Times New Roman"/>
          <w:sz w:val="20"/>
          <w:szCs w:val="20"/>
          <w:lang w:val="en-IN" w:eastAsia="en-IN"/>
        </w:rPr>
      </w:pPr>
      <w:r w:rsidRPr="00B075A6">
        <w:rPr>
          <w:rFonts w:eastAsia="Times New Roman"/>
          <w:b/>
          <w:bCs/>
          <w:sz w:val="20"/>
          <w:szCs w:val="20"/>
          <w:lang w:val="en-IN" w:eastAsia="en-IN"/>
        </w:rPr>
        <w:t>Feasibility:</w:t>
      </w:r>
      <w:r w:rsidRPr="00B075A6">
        <w:rPr>
          <w:rFonts w:eastAsia="Times New Roman"/>
          <w:sz w:val="20"/>
          <w:szCs w:val="20"/>
          <w:lang w:val="en-IN" w:eastAsia="en-IN"/>
        </w:rPr>
        <w:t xml:space="preserve"> Both proposed solutions are technically feasible within 3GPP specifications and could be standardized with moderate effort. Proposal 1 introduces a new use of TS 23.032 location encoding in RAN </w:t>
      </w:r>
      <w:proofErr w:type="spellStart"/>
      <w:r w:rsidRPr="00B075A6">
        <w:rPr>
          <w:rFonts w:eastAsia="Times New Roman"/>
          <w:sz w:val="20"/>
          <w:szCs w:val="20"/>
          <w:lang w:val="en-IN" w:eastAsia="en-IN"/>
        </w:rPr>
        <w:t>signaling</w:t>
      </w:r>
      <w:proofErr w:type="spellEnd"/>
      <w:r w:rsidRPr="00B075A6">
        <w:rPr>
          <w:rFonts w:eastAsia="Times New Roman"/>
          <w:sz w:val="20"/>
          <w:szCs w:val="20"/>
          <w:lang w:val="en-IN" w:eastAsia="en-IN"/>
        </w:rPr>
        <w:t>, which is feasible given past use in core network protocols​. Proposal 2 leverages existing identification schemes, making it straightforward. There are no insurmountable obstacles for either approach: it is mainly a question of which trade-offs the working group finds more acceptable.</w:t>
      </w:r>
    </w:p>
    <w:p w14:paraId="2DAABCB7" w14:textId="77777777" w:rsidR="00B075A6" w:rsidRPr="00B075A6" w:rsidRDefault="00B075A6" w:rsidP="00B075A6">
      <w:pPr>
        <w:spacing w:before="100" w:beforeAutospacing="1" w:after="100" w:afterAutospacing="1"/>
        <w:rPr>
          <w:rFonts w:eastAsia="Times New Roman"/>
          <w:sz w:val="24"/>
          <w:lang w:val="en-IN" w:eastAsia="en-IN"/>
        </w:rPr>
      </w:pPr>
      <w:r w:rsidRPr="00B075A6">
        <w:rPr>
          <w:rFonts w:eastAsia="Times New Roman"/>
          <w:b/>
          <w:bCs/>
          <w:sz w:val="24"/>
          <w:lang w:val="en-IN" w:eastAsia="en-IN"/>
        </w:rPr>
        <w:t>Impact on RAN3 (Architecture and NG Interfaces):</w:t>
      </w:r>
    </w:p>
    <w:p w14:paraId="64A3690E" w14:textId="5385073D" w:rsidR="00B075A6" w:rsidRPr="00B075A6" w:rsidRDefault="00B075A6" w:rsidP="00C503EB">
      <w:pPr>
        <w:numPr>
          <w:ilvl w:val="0"/>
          <w:numId w:val="49"/>
        </w:numPr>
        <w:spacing w:before="100" w:beforeAutospacing="1" w:after="0" w:afterAutospacing="1"/>
        <w:rPr>
          <w:rFonts w:eastAsia="Times New Roman"/>
          <w:sz w:val="20"/>
          <w:szCs w:val="20"/>
          <w:lang w:val="en-IN" w:eastAsia="en-IN"/>
        </w:rPr>
      </w:pPr>
      <w:r w:rsidRPr="00B075A6">
        <w:rPr>
          <w:b/>
          <w:sz w:val="20"/>
          <w:szCs w:val="20"/>
          <w:lang w:val="en-IN" w:eastAsia="en-IN"/>
        </w:rPr>
        <w:lastRenderedPageBreak/>
        <w:t>For Proposal 1</w:t>
      </w:r>
      <w:r w:rsidRPr="00B075A6">
        <w:rPr>
          <w:rFonts w:eastAsia="Times New Roman"/>
          <w:sz w:val="20"/>
          <w:szCs w:val="20"/>
          <w:lang w:val="en-IN" w:eastAsia="en-IN"/>
        </w:rPr>
        <w:t xml:space="preserve">, RAN3 would need to define new NGAP IEs to carry the coordinate-based area. This likely means updates to TS 38.413 (NGAP) to include </w:t>
      </w:r>
      <w:proofErr w:type="spellStart"/>
      <w:r w:rsidRPr="00B075A6">
        <w:rPr>
          <w:rFonts w:eastAsia="Times New Roman"/>
          <w:sz w:val="20"/>
          <w:szCs w:val="20"/>
          <w:lang w:val="en-IN" w:eastAsia="en-IN"/>
        </w:rPr>
        <w:t>BroadcastServiceAreaCoordinates</w:t>
      </w:r>
      <w:proofErr w:type="spellEnd"/>
      <w:r w:rsidRPr="00B075A6">
        <w:rPr>
          <w:rFonts w:eastAsia="Times New Roman"/>
          <w:sz w:val="20"/>
          <w:szCs w:val="20"/>
          <w:lang w:val="en-IN" w:eastAsia="en-IN"/>
        </w:rPr>
        <w:t xml:space="preserve"> in relevant procedures (e.g., </w:t>
      </w:r>
      <w:proofErr w:type="spellStart"/>
      <w:r w:rsidRPr="00B075A6">
        <w:rPr>
          <w:rFonts w:eastAsia="Times New Roman"/>
          <w:i/>
          <w:iCs/>
          <w:sz w:val="20"/>
          <w:szCs w:val="20"/>
          <w:lang w:val="en-IN" w:eastAsia="en-IN"/>
        </w:rPr>
        <w:t>MBSBroadcastInitiation</w:t>
      </w:r>
      <w:proofErr w:type="spellEnd"/>
      <w:r w:rsidRPr="00B075A6">
        <w:rPr>
          <w:rFonts w:eastAsia="Times New Roman"/>
          <w:sz w:val="20"/>
          <w:szCs w:val="20"/>
          <w:lang w:val="en-IN" w:eastAsia="en-IN"/>
        </w:rPr>
        <w:t xml:space="preserve"> or similar). It also requires ensuring the AMF/MB-SMF can obtain or be configured with the TS 23.032 data from higher layers (which Stage-2 implies it can via NEF). The NG routing might still use TAIs for delivering the message, but the content carries coordinates. RAN3 would also liaise with SA2 to confirm the source and usage of such coordinates in the system architecture.</w:t>
      </w:r>
    </w:p>
    <w:p w14:paraId="1C0A810D" w14:textId="64619497" w:rsidR="00B075A6" w:rsidRPr="00B075A6" w:rsidRDefault="00B075A6" w:rsidP="00B075A6">
      <w:pPr>
        <w:numPr>
          <w:ilvl w:val="0"/>
          <w:numId w:val="49"/>
        </w:numPr>
        <w:spacing w:before="100" w:beforeAutospacing="1" w:after="100" w:afterAutospacing="1"/>
        <w:rPr>
          <w:rFonts w:eastAsia="Times New Roman"/>
          <w:sz w:val="20"/>
          <w:szCs w:val="20"/>
          <w:lang w:val="en-IN" w:eastAsia="en-IN"/>
        </w:rPr>
      </w:pPr>
      <w:r w:rsidRPr="00B075A6">
        <w:rPr>
          <w:rFonts w:eastAsia="Times New Roman"/>
          <w:b/>
          <w:sz w:val="20"/>
          <w:szCs w:val="20"/>
          <w:lang w:val="en-IN" w:eastAsia="en-IN"/>
        </w:rPr>
        <w:t>For Proposal 2</w:t>
      </w:r>
      <w:r w:rsidRPr="00B075A6">
        <w:rPr>
          <w:rFonts w:eastAsia="Times New Roman"/>
          <w:sz w:val="20"/>
          <w:szCs w:val="20"/>
          <w:lang w:val="en-IN" w:eastAsia="en-IN"/>
        </w:rPr>
        <w:t xml:space="preserve">, RAN3 would likely update NGAP to include something like a </w:t>
      </w:r>
      <w:proofErr w:type="spellStart"/>
      <w:r w:rsidRPr="00B075A6">
        <w:rPr>
          <w:rFonts w:eastAsia="Times New Roman"/>
          <w:sz w:val="20"/>
          <w:szCs w:val="20"/>
          <w:lang w:val="en-IN" w:eastAsia="en-IN"/>
        </w:rPr>
        <w:t>BroadcastServiceAreaTAIList</w:t>
      </w:r>
      <w:proofErr w:type="spellEnd"/>
      <w:r w:rsidRPr="00B075A6">
        <w:rPr>
          <w:rFonts w:eastAsia="Times New Roman"/>
          <w:sz w:val="20"/>
          <w:szCs w:val="20"/>
          <w:lang w:val="en-IN" w:eastAsia="en-IN"/>
        </w:rPr>
        <w:t xml:space="preserve"> IE (if not already implicitly handled). This is similar to how AMF provides location-based info to </w:t>
      </w:r>
      <w:proofErr w:type="spellStart"/>
      <w:r w:rsidRPr="00B075A6">
        <w:rPr>
          <w:rFonts w:eastAsia="Times New Roman"/>
          <w:sz w:val="20"/>
          <w:szCs w:val="20"/>
          <w:lang w:val="en-IN" w:eastAsia="en-IN"/>
        </w:rPr>
        <w:t>gNB</w:t>
      </w:r>
      <w:proofErr w:type="spellEnd"/>
      <w:r w:rsidRPr="00B075A6">
        <w:rPr>
          <w:rFonts w:eastAsia="Times New Roman"/>
          <w:sz w:val="20"/>
          <w:szCs w:val="20"/>
          <w:lang w:val="en-IN" w:eastAsia="en-IN"/>
        </w:rPr>
        <w:t xml:space="preserve"> in other features, so minimal changes. The core network (AMF) selection and MB-SMF coordination already use TAIs for broadcast session discovery​, so this aligns well. RAN3 would need to ensure the procedure of sending an MBS Session Start to multiple cells is well-defined (which it is in principle – AMF can send to all </w:t>
      </w:r>
      <w:proofErr w:type="spellStart"/>
      <w:r w:rsidRPr="00B075A6">
        <w:rPr>
          <w:rFonts w:eastAsia="Times New Roman"/>
          <w:sz w:val="20"/>
          <w:szCs w:val="20"/>
          <w:lang w:val="en-IN" w:eastAsia="en-IN"/>
        </w:rPr>
        <w:t>gNBs</w:t>
      </w:r>
      <w:proofErr w:type="spellEnd"/>
      <w:r w:rsidRPr="00B075A6">
        <w:rPr>
          <w:rFonts w:eastAsia="Times New Roman"/>
          <w:sz w:val="20"/>
          <w:szCs w:val="20"/>
          <w:lang w:val="en-IN" w:eastAsia="en-IN"/>
        </w:rPr>
        <w:t xml:space="preserve"> serving listed TAIs).</w:t>
      </w:r>
    </w:p>
    <w:p w14:paraId="403C8774" w14:textId="77777777" w:rsidR="00B075A6" w:rsidRPr="00B075A6" w:rsidRDefault="00B075A6" w:rsidP="00B075A6">
      <w:pPr>
        <w:rPr>
          <w:sz w:val="20"/>
          <w:szCs w:val="20"/>
        </w:rPr>
      </w:pPr>
    </w:p>
    <w:sectPr w:rsidR="00B075A6" w:rsidRPr="00B075A6" w:rsidSect="007A0BC4">
      <w:pgSz w:w="11906" w:h="16838" w:code="9"/>
      <w:pgMar w:top="1417"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A5E72"/>
    <w:multiLevelType w:val="hybridMultilevel"/>
    <w:tmpl w:val="09F68D7A"/>
    <w:lvl w:ilvl="0" w:tplc="DA08162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E575E5"/>
    <w:multiLevelType w:val="hybridMultilevel"/>
    <w:tmpl w:val="5BB8F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87A73F8"/>
    <w:multiLevelType w:val="hybridMultilevel"/>
    <w:tmpl w:val="81587180"/>
    <w:lvl w:ilvl="0" w:tplc="DA08162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4467"/>
    <w:multiLevelType w:val="hybridMultilevel"/>
    <w:tmpl w:val="B46AD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33843"/>
    <w:multiLevelType w:val="hybridMultilevel"/>
    <w:tmpl w:val="78641344"/>
    <w:lvl w:ilvl="0" w:tplc="391A03A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6326A2"/>
    <w:multiLevelType w:val="multilevel"/>
    <w:tmpl w:val="BD5C1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B31213"/>
    <w:multiLevelType w:val="multilevel"/>
    <w:tmpl w:val="09B4A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28726B"/>
    <w:multiLevelType w:val="multilevel"/>
    <w:tmpl w:val="AB08CF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FB2CB1"/>
    <w:multiLevelType w:val="multilevel"/>
    <w:tmpl w:val="6810B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536612"/>
    <w:multiLevelType w:val="multilevel"/>
    <w:tmpl w:val="1966D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132027"/>
    <w:multiLevelType w:val="hybridMultilevel"/>
    <w:tmpl w:val="679A1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005AD3"/>
    <w:multiLevelType w:val="hybridMultilevel"/>
    <w:tmpl w:val="1BF4DF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D6E38E3"/>
    <w:multiLevelType w:val="multilevel"/>
    <w:tmpl w:val="41FA6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6C3AA4"/>
    <w:multiLevelType w:val="multilevel"/>
    <w:tmpl w:val="E830045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b w:val="0"/>
        <w:sz w:val="32"/>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222D43FC"/>
    <w:multiLevelType w:val="hybridMultilevel"/>
    <w:tmpl w:val="37A29E88"/>
    <w:lvl w:ilvl="0" w:tplc="DA08162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4546E4C"/>
    <w:multiLevelType w:val="multilevel"/>
    <w:tmpl w:val="352C3B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6F53ED0"/>
    <w:multiLevelType w:val="hybridMultilevel"/>
    <w:tmpl w:val="6BF2A78E"/>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724FA3"/>
    <w:multiLevelType w:val="multilevel"/>
    <w:tmpl w:val="BA2A7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775F31"/>
    <w:multiLevelType w:val="hybridMultilevel"/>
    <w:tmpl w:val="5B2E6CB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33440331"/>
    <w:multiLevelType w:val="multilevel"/>
    <w:tmpl w:val="40CC5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163868"/>
    <w:multiLevelType w:val="hybridMultilevel"/>
    <w:tmpl w:val="88E07D72"/>
    <w:lvl w:ilvl="0" w:tplc="CA522AD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2A494F"/>
    <w:multiLevelType w:val="multilevel"/>
    <w:tmpl w:val="57FE0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6" w15:restartNumberingAfterBreak="0">
    <w:nsid w:val="41FD406D"/>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C4B2F97"/>
    <w:multiLevelType w:val="multilevel"/>
    <w:tmpl w:val="DF881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235396"/>
    <w:multiLevelType w:val="multilevel"/>
    <w:tmpl w:val="F1B8C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32631E2"/>
    <w:multiLevelType w:val="hybridMultilevel"/>
    <w:tmpl w:val="DD6C3AFC"/>
    <w:lvl w:ilvl="0" w:tplc="DA08162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591EAE"/>
    <w:multiLevelType w:val="multilevel"/>
    <w:tmpl w:val="4B520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6AD72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5"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75202D4"/>
    <w:multiLevelType w:val="multilevel"/>
    <w:tmpl w:val="64767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8D6969"/>
    <w:multiLevelType w:val="hybridMultilevel"/>
    <w:tmpl w:val="11E28A7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AB579BB"/>
    <w:multiLevelType w:val="hybridMultilevel"/>
    <w:tmpl w:val="0BF2A05A"/>
    <w:lvl w:ilvl="0" w:tplc="587857A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6F862C49"/>
    <w:multiLevelType w:val="hybridMultilevel"/>
    <w:tmpl w:val="2C60E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BF31F1"/>
    <w:multiLevelType w:val="hybridMultilevel"/>
    <w:tmpl w:val="74BA6DE4"/>
    <w:lvl w:ilvl="0" w:tplc="DA08162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0C0EAB"/>
    <w:multiLevelType w:val="multilevel"/>
    <w:tmpl w:val="BC942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4F44FF"/>
    <w:multiLevelType w:val="multilevel"/>
    <w:tmpl w:val="55D2B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9"/>
  </w:num>
  <w:num w:numId="2">
    <w:abstractNumId w:val="2"/>
  </w:num>
  <w:num w:numId="3">
    <w:abstractNumId w:val="14"/>
  </w:num>
  <w:num w:numId="4">
    <w:abstractNumId w:val="34"/>
  </w:num>
  <w:num w:numId="5">
    <w:abstractNumId w:val="16"/>
  </w:num>
  <w:num w:numId="6">
    <w:abstractNumId w:val="25"/>
  </w:num>
  <w:num w:numId="7">
    <w:abstractNumId w:val="28"/>
  </w:num>
  <w:num w:numId="8">
    <w:abstractNumId w:val="19"/>
  </w:num>
  <w:num w:numId="9">
    <w:abstractNumId w:val="41"/>
  </w:num>
  <w:num w:numId="10">
    <w:abstractNumId w:val="5"/>
  </w:num>
  <w:num w:numId="11">
    <w:abstractNumId w:val="32"/>
  </w:num>
  <w:num w:numId="12">
    <w:abstractNumId w:val="15"/>
  </w:num>
  <w:num w:numId="13">
    <w:abstractNumId w:val="0"/>
  </w:num>
  <w:num w:numId="14">
    <w:abstractNumId w:val="3"/>
  </w:num>
  <w:num w:numId="15">
    <w:abstractNumId w:val="23"/>
  </w:num>
  <w:num w:numId="16">
    <w:abstractNumId w:val="30"/>
  </w:num>
  <w:num w:numId="17">
    <w:abstractNumId w:val="11"/>
  </w:num>
  <w:num w:numId="18">
    <w:abstractNumId w:val="18"/>
  </w:num>
  <w:num w:numId="19">
    <w:abstractNumId w:val="42"/>
  </w:num>
  <w:num w:numId="20">
    <w:abstractNumId w:val="40"/>
  </w:num>
  <w:num w:numId="21">
    <w:abstractNumId w:val="37"/>
  </w:num>
  <w:num w:numId="22">
    <w:abstractNumId w:val="21"/>
  </w:num>
  <w:num w:numId="23">
    <w:abstractNumId w:val="4"/>
  </w:num>
  <w:num w:numId="24">
    <w:abstractNumId w:val="26"/>
  </w:num>
  <w:num w:numId="25">
    <w:abstractNumId w:val="33"/>
  </w:num>
  <w:num w:numId="26">
    <w:abstractNumId w:val="1"/>
  </w:num>
  <w:num w:numId="27">
    <w:abstractNumId w:val="38"/>
  </w:num>
  <w:num w:numId="28">
    <w:abstractNumId w:val="35"/>
  </w:num>
  <w:num w:numId="29">
    <w:abstractNumId w:val="14"/>
  </w:num>
  <w:num w:numId="30">
    <w:abstractNumId w:val="12"/>
  </w:num>
  <w:num w:numId="31">
    <w:abstractNumId w:val="31"/>
  </w:num>
  <w:num w:numId="32">
    <w:abstractNumId w:val="14"/>
  </w:num>
  <w:num w:numId="33">
    <w:abstractNumId w:val="14"/>
  </w:num>
  <w:num w:numId="34">
    <w:abstractNumId w:val="10"/>
  </w:num>
  <w:num w:numId="35">
    <w:abstractNumId w:val="36"/>
  </w:num>
  <w:num w:numId="36">
    <w:abstractNumId w:val="43"/>
  </w:num>
  <w:num w:numId="37">
    <w:abstractNumId w:val="27"/>
  </w:num>
  <w:num w:numId="38">
    <w:abstractNumId w:val="6"/>
  </w:num>
  <w:num w:numId="39">
    <w:abstractNumId w:val="14"/>
  </w:num>
  <w:num w:numId="40">
    <w:abstractNumId w:val="44"/>
  </w:num>
  <w:num w:numId="41">
    <w:abstractNumId w:val="7"/>
  </w:num>
  <w:num w:numId="42">
    <w:abstractNumId w:val="13"/>
  </w:num>
  <w:num w:numId="43">
    <w:abstractNumId w:val="9"/>
  </w:num>
  <w:num w:numId="44">
    <w:abstractNumId w:val="8"/>
  </w:num>
  <w:num w:numId="45">
    <w:abstractNumId w:val="20"/>
  </w:num>
  <w:num w:numId="46">
    <w:abstractNumId w:val="22"/>
  </w:num>
  <w:num w:numId="47">
    <w:abstractNumId w:val="17"/>
  </w:num>
  <w:num w:numId="48">
    <w:abstractNumId w:val="29"/>
  </w:num>
  <w:num w:numId="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12CF1"/>
    <w:rsid w:val="00033BA0"/>
    <w:rsid w:val="000404FD"/>
    <w:rsid w:val="0004747F"/>
    <w:rsid w:val="0005132E"/>
    <w:rsid w:val="000713E2"/>
    <w:rsid w:val="000819BA"/>
    <w:rsid w:val="00084799"/>
    <w:rsid w:val="00085925"/>
    <w:rsid w:val="000A6ED3"/>
    <w:rsid w:val="000A6F7B"/>
    <w:rsid w:val="000B2249"/>
    <w:rsid w:val="000B3A9A"/>
    <w:rsid w:val="000B6FAD"/>
    <w:rsid w:val="000C0578"/>
    <w:rsid w:val="000C27C5"/>
    <w:rsid w:val="000C2FB4"/>
    <w:rsid w:val="000C5230"/>
    <w:rsid w:val="000E1E27"/>
    <w:rsid w:val="000E51FE"/>
    <w:rsid w:val="000F1207"/>
    <w:rsid w:val="000F1B6D"/>
    <w:rsid w:val="000F2883"/>
    <w:rsid w:val="000F62C2"/>
    <w:rsid w:val="00100216"/>
    <w:rsid w:val="00100F29"/>
    <w:rsid w:val="00103B76"/>
    <w:rsid w:val="00103FD0"/>
    <w:rsid w:val="0010609C"/>
    <w:rsid w:val="00120F8D"/>
    <w:rsid w:val="0013001D"/>
    <w:rsid w:val="00132483"/>
    <w:rsid w:val="0014525B"/>
    <w:rsid w:val="001453C1"/>
    <w:rsid w:val="00153462"/>
    <w:rsid w:val="00165E1D"/>
    <w:rsid w:val="00167264"/>
    <w:rsid w:val="00173081"/>
    <w:rsid w:val="001824D7"/>
    <w:rsid w:val="00183487"/>
    <w:rsid w:val="001848AC"/>
    <w:rsid w:val="00187ECE"/>
    <w:rsid w:val="001920C1"/>
    <w:rsid w:val="00195743"/>
    <w:rsid w:val="001A2D65"/>
    <w:rsid w:val="001C321E"/>
    <w:rsid w:val="001F39CD"/>
    <w:rsid w:val="001F48F3"/>
    <w:rsid w:val="00210DE0"/>
    <w:rsid w:val="0021481E"/>
    <w:rsid w:val="00225BDF"/>
    <w:rsid w:val="00250B34"/>
    <w:rsid w:val="00254977"/>
    <w:rsid w:val="00260842"/>
    <w:rsid w:val="002632E9"/>
    <w:rsid w:val="002952CD"/>
    <w:rsid w:val="002955F7"/>
    <w:rsid w:val="002B3029"/>
    <w:rsid w:val="002C777A"/>
    <w:rsid w:val="002D328C"/>
    <w:rsid w:val="00302688"/>
    <w:rsid w:val="00306F92"/>
    <w:rsid w:val="00307F58"/>
    <w:rsid w:val="00312D5E"/>
    <w:rsid w:val="00313EB7"/>
    <w:rsid w:val="00320EC5"/>
    <w:rsid w:val="00327D85"/>
    <w:rsid w:val="003309DB"/>
    <w:rsid w:val="003344F3"/>
    <w:rsid w:val="00363002"/>
    <w:rsid w:val="003A79AB"/>
    <w:rsid w:val="003B163E"/>
    <w:rsid w:val="003C0E64"/>
    <w:rsid w:val="003C67C9"/>
    <w:rsid w:val="003D3A36"/>
    <w:rsid w:val="00410E8D"/>
    <w:rsid w:val="0041307D"/>
    <w:rsid w:val="00417E43"/>
    <w:rsid w:val="0042082E"/>
    <w:rsid w:val="00427BCE"/>
    <w:rsid w:val="004311CD"/>
    <w:rsid w:val="0043713A"/>
    <w:rsid w:val="004507B5"/>
    <w:rsid w:val="00461311"/>
    <w:rsid w:val="004654AB"/>
    <w:rsid w:val="004769BB"/>
    <w:rsid w:val="00481C6D"/>
    <w:rsid w:val="00487384"/>
    <w:rsid w:val="004901C7"/>
    <w:rsid w:val="00492325"/>
    <w:rsid w:val="00494202"/>
    <w:rsid w:val="00495E52"/>
    <w:rsid w:val="004A0E11"/>
    <w:rsid w:val="004A1CB4"/>
    <w:rsid w:val="004A642F"/>
    <w:rsid w:val="004B0301"/>
    <w:rsid w:val="004B7470"/>
    <w:rsid w:val="004D7072"/>
    <w:rsid w:val="004E4AA7"/>
    <w:rsid w:val="004F068E"/>
    <w:rsid w:val="004F1A79"/>
    <w:rsid w:val="004F42FB"/>
    <w:rsid w:val="00502083"/>
    <w:rsid w:val="0051749D"/>
    <w:rsid w:val="00551443"/>
    <w:rsid w:val="00552672"/>
    <w:rsid w:val="005549B8"/>
    <w:rsid w:val="00556425"/>
    <w:rsid w:val="005809F6"/>
    <w:rsid w:val="00585A8F"/>
    <w:rsid w:val="00587BFF"/>
    <w:rsid w:val="00593599"/>
    <w:rsid w:val="005948A6"/>
    <w:rsid w:val="005B43FF"/>
    <w:rsid w:val="005C43AF"/>
    <w:rsid w:val="005D2DBA"/>
    <w:rsid w:val="005D7A30"/>
    <w:rsid w:val="005E7ED0"/>
    <w:rsid w:val="005F50CF"/>
    <w:rsid w:val="00601EA7"/>
    <w:rsid w:val="006040BD"/>
    <w:rsid w:val="00622627"/>
    <w:rsid w:val="006319E3"/>
    <w:rsid w:val="0063517A"/>
    <w:rsid w:val="0064712B"/>
    <w:rsid w:val="006535DD"/>
    <w:rsid w:val="00653B0D"/>
    <w:rsid w:val="00661DC3"/>
    <w:rsid w:val="00666C45"/>
    <w:rsid w:val="00667D52"/>
    <w:rsid w:val="006A3A54"/>
    <w:rsid w:val="006B3F0B"/>
    <w:rsid w:val="006D09C3"/>
    <w:rsid w:val="006D1688"/>
    <w:rsid w:val="006D1CC4"/>
    <w:rsid w:val="006D774A"/>
    <w:rsid w:val="006E48D6"/>
    <w:rsid w:val="00724FDF"/>
    <w:rsid w:val="0074094A"/>
    <w:rsid w:val="007427BB"/>
    <w:rsid w:val="007448E0"/>
    <w:rsid w:val="00752444"/>
    <w:rsid w:val="00757881"/>
    <w:rsid w:val="00761D18"/>
    <w:rsid w:val="00784A2D"/>
    <w:rsid w:val="007871A4"/>
    <w:rsid w:val="007A0BC4"/>
    <w:rsid w:val="007B7FFB"/>
    <w:rsid w:val="007C0300"/>
    <w:rsid w:val="007C08D4"/>
    <w:rsid w:val="007C5560"/>
    <w:rsid w:val="007D6512"/>
    <w:rsid w:val="007E0D8B"/>
    <w:rsid w:val="007F6408"/>
    <w:rsid w:val="00807936"/>
    <w:rsid w:val="00810FA8"/>
    <w:rsid w:val="00817F30"/>
    <w:rsid w:val="00825F78"/>
    <w:rsid w:val="00826896"/>
    <w:rsid w:val="00845B9F"/>
    <w:rsid w:val="00857278"/>
    <w:rsid w:val="0086024D"/>
    <w:rsid w:val="008641BF"/>
    <w:rsid w:val="00871B8C"/>
    <w:rsid w:val="008832C1"/>
    <w:rsid w:val="008A1390"/>
    <w:rsid w:val="008C2ADB"/>
    <w:rsid w:val="008D116E"/>
    <w:rsid w:val="008D29E8"/>
    <w:rsid w:val="008D3FB0"/>
    <w:rsid w:val="008D5EE7"/>
    <w:rsid w:val="008E73F1"/>
    <w:rsid w:val="008F75F6"/>
    <w:rsid w:val="008F75F8"/>
    <w:rsid w:val="00917441"/>
    <w:rsid w:val="00930EE4"/>
    <w:rsid w:val="00933FC9"/>
    <w:rsid w:val="00942214"/>
    <w:rsid w:val="00946939"/>
    <w:rsid w:val="00955CF1"/>
    <w:rsid w:val="0097382B"/>
    <w:rsid w:val="009738B3"/>
    <w:rsid w:val="00981CB7"/>
    <w:rsid w:val="00986580"/>
    <w:rsid w:val="00993E95"/>
    <w:rsid w:val="009A1130"/>
    <w:rsid w:val="009A4149"/>
    <w:rsid w:val="009B0B09"/>
    <w:rsid w:val="009C0295"/>
    <w:rsid w:val="009C16C9"/>
    <w:rsid w:val="009E1EBC"/>
    <w:rsid w:val="009E2939"/>
    <w:rsid w:val="009E33FF"/>
    <w:rsid w:val="009F523A"/>
    <w:rsid w:val="009F6E28"/>
    <w:rsid w:val="00A05DA6"/>
    <w:rsid w:val="00A076BD"/>
    <w:rsid w:val="00A2592F"/>
    <w:rsid w:val="00A36CD6"/>
    <w:rsid w:val="00A40685"/>
    <w:rsid w:val="00A42C06"/>
    <w:rsid w:val="00A443E2"/>
    <w:rsid w:val="00A534E4"/>
    <w:rsid w:val="00A5395E"/>
    <w:rsid w:val="00A72DBD"/>
    <w:rsid w:val="00A83A46"/>
    <w:rsid w:val="00A84A89"/>
    <w:rsid w:val="00A967CC"/>
    <w:rsid w:val="00AB251E"/>
    <w:rsid w:val="00AD2F6C"/>
    <w:rsid w:val="00AD6E5B"/>
    <w:rsid w:val="00AE702B"/>
    <w:rsid w:val="00AE7B7A"/>
    <w:rsid w:val="00AF4864"/>
    <w:rsid w:val="00B013E9"/>
    <w:rsid w:val="00B075A6"/>
    <w:rsid w:val="00B13E97"/>
    <w:rsid w:val="00B15554"/>
    <w:rsid w:val="00B21143"/>
    <w:rsid w:val="00B27276"/>
    <w:rsid w:val="00B35D93"/>
    <w:rsid w:val="00B47036"/>
    <w:rsid w:val="00B51395"/>
    <w:rsid w:val="00B53F9C"/>
    <w:rsid w:val="00B713BF"/>
    <w:rsid w:val="00B75C4A"/>
    <w:rsid w:val="00B77C18"/>
    <w:rsid w:val="00B95562"/>
    <w:rsid w:val="00BA6190"/>
    <w:rsid w:val="00BC0EF9"/>
    <w:rsid w:val="00BC6289"/>
    <w:rsid w:val="00BD05AF"/>
    <w:rsid w:val="00BD2D3F"/>
    <w:rsid w:val="00C0282D"/>
    <w:rsid w:val="00C0373B"/>
    <w:rsid w:val="00C33678"/>
    <w:rsid w:val="00C40517"/>
    <w:rsid w:val="00C43944"/>
    <w:rsid w:val="00C44093"/>
    <w:rsid w:val="00C504F6"/>
    <w:rsid w:val="00C670AB"/>
    <w:rsid w:val="00C712FD"/>
    <w:rsid w:val="00C73206"/>
    <w:rsid w:val="00C819E0"/>
    <w:rsid w:val="00C82EC5"/>
    <w:rsid w:val="00C95162"/>
    <w:rsid w:val="00CA12C1"/>
    <w:rsid w:val="00CB31B2"/>
    <w:rsid w:val="00CB3CAE"/>
    <w:rsid w:val="00CC02D2"/>
    <w:rsid w:val="00CC2D9D"/>
    <w:rsid w:val="00CD41D3"/>
    <w:rsid w:val="00CD6A2A"/>
    <w:rsid w:val="00CF79C3"/>
    <w:rsid w:val="00D1108A"/>
    <w:rsid w:val="00D12E73"/>
    <w:rsid w:val="00D44844"/>
    <w:rsid w:val="00D463A2"/>
    <w:rsid w:val="00D46A0C"/>
    <w:rsid w:val="00D46A5B"/>
    <w:rsid w:val="00D47B89"/>
    <w:rsid w:val="00D57802"/>
    <w:rsid w:val="00D6027D"/>
    <w:rsid w:val="00D66D5C"/>
    <w:rsid w:val="00D71762"/>
    <w:rsid w:val="00D72BC6"/>
    <w:rsid w:val="00D76845"/>
    <w:rsid w:val="00D82943"/>
    <w:rsid w:val="00D90AFD"/>
    <w:rsid w:val="00DA5E21"/>
    <w:rsid w:val="00DC4196"/>
    <w:rsid w:val="00DD0EFA"/>
    <w:rsid w:val="00DD6AE6"/>
    <w:rsid w:val="00DF0755"/>
    <w:rsid w:val="00DF793D"/>
    <w:rsid w:val="00E01404"/>
    <w:rsid w:val="00E101B8"/>
    <w:rsid w:val="00E136A8"/>
    <w:rsid w:val="00E250A8"/>
    <w:rsid w:val="00E26F3B"/>
    <w:rsid w:val="00E4054B"/>
    <w:rsid w:val="00E45140"/>
    <w:rsid w:val="00E46E40"/>
    <w:rsid w:val="00E54E31"/>
    <w:rsid w:val="00E63E2D"/>
    <w:rsid w:val="00E75568"/>
    <w:rsid w:val="00E86376"/>
    <w:rsid w:val="00EA0EA1"/>
    <w:rsid w:val="00EB5D72"/>
    <w:rsid w:val="00EC1807"/>
    <w:rsid w:val="00EC57F9"/>
    <w:rsid w:val="00ED0FEF"/>
    <w:rsid w:val="00ED31AB"/>
    <w:rsid w:val="00ED72F7"/>
    <w:rsid w:val="00EE310C"/>
    <w:rsid w:val="00EE4815"/>
    <w:rsid w:val="00EF2865"/>
    <w:rsid w:val="00EF5774"/>
    <w:rsid w:val="00F15442"/>
    <w:rsid w:val="00F20371"/>
    <w:rsid w:val="00F5371A"/>
    <w:rsid w:val="00F57369"/>
    <w:rsid w:val="00F64B17"/>
    <w:rsid w:val="00F6580A"/>
    <w:rsid w:val="00F75FAF"/>
    <w:rsid w:val="00F80215"/>
    <w:rsid w:val="00F87000"/>
    <w:rsid w:val="00F90D5C"/>
    <w:rsid w:val="00FC304E"/>
    <w:rsid w:val="00FD0FD7"/>
    <w:rsid w:val="00FD4706"/>
    <w:rsid w:val="00FD7B39"/>
    <w:rsid w:val="00FE7B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D05D2C"/>
  <w15:chartTrackingRefBased/>
  <w15:docId w15:val="{42047C2B-7444-4E6D-9551-3AA4BEBD7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2D3F"/>
    <w:pPr>
      <w:spacing w:after="120"/>
    </w:pPr>
    <w:rPr>
      <w:sz w:val="22"/>
      <w:szCs w:val="24"/>
      <w:lang w:val="en-US"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Hyperlink">
    <w:name w:val="Hyperlink"/>
    <w:uiPriority w:val="99"/>
    <w:rsid w:val="005D2DBA"/>
    <w:rPr>
      <w:color w:val="0000FF"/>
      <w:u w:val="single"/>
    </w:rPr>
  </w:style>
  <w:style w:type="character" w:styleId="FollowedHyperlink">
    <w:name w:val="FollowedHyperlink"/>
    <w:rsid w:val="005D2DBA"/>
    <w:rPr>
      <w:color w:val="954F72"/>
      <w:u w:val="single"/>
    </w:rPr>
  </w:style>
  <w:style w:type="paragraph" w:styleId="BalloonText">
    <w:name w:val="Balloon Text"/>
    <w:basedOn w:val="Normal"/>
    <w:link w:val="BalloonTextChar"/>
    <w:rsid w:val="00EC57F9"/>
    <w:pPr>
      <w:spacing w:after="0"/>
    </w:pPr>
    <w:rPr>
      <w:rFonts w:ascii="Segoe UI" w:hAnsi="Segoe UI" w:cs="Segoe UI"/>
      <w:sz w:val="18"/>
      <w:szCs w:val="18"/>
    </w:rPr>
  </w:style>
  <w:style w:type="character" w:customStyle="1" w:styleId="BalloonTextChar">
    <w:name w:val="Balloon Text Char"/>
    <w:link w:val="BalloonText"/>
    <w:rsid w:val="00EC57F9"/>
    <w:rPr>
      <w:rFonts w:ascii="Segoe UI" w:hAnsi="Segoe UI" w:cs="Segoe UI"/>
      <w:sz w:val="18"/>
      <w:szCs w:val="18"/>
      <w:lang w:eastAsia="ja-JP"/>
    </w:rPr>
  </w:style>
  <w:style w:type="table" w:styleId="TableGrid">
    <w:name w:val="Table Grid"/>
    <w:basedOn w:val="TableNormal"/>
    <w:uiPriority w:val="39"/>
    <w:qFormat/>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8C2ADB"/>
    <w:rPr>
      <w:rFonts w:ascii="Arial" w:hAnsi="Arial" w:cs="Arial"/>
      <w:bCs/>
      <w:iCs/>
      <w:sz w:val="28"/>
      <w:szCs w:val="26"/>
      <w:lang w:eastAsia="ja-JP"/>
    </w:rPr>
  </w:style>
  <w:style w:type="character" w:customStyle="1" w:styleId="Heading2Char">
    <w:name w:val="Heading 2 Char"/>
    <w:link w:val="Heading2"/>
    <w:rsid w:val="00173081"/>
    <w:rPr>
      <w:rFonts w:ascii="Arial" w:hAnsi="Arial" w:cs="Arial"/>
      <w:iCs/>
      <w:sz w:val="32"/>
      <w:szCs w:val="28"/>
      <w:lang w:eastAsia="ja-JP"/>
    </w:rPr>
  </w:style>
  <w:style w:type="paragraph" w:customStyle="1" w:styleId="Agreement">
    <w:name w:val="Agreement"/>
    <w:basedOn w:val="Normal"/>
    <w:next w:val="Normal"/>
    <w:uiPriority w:val="99"/>
    <w:qFormat/>
    <w:rsid w:val="00183487"/>
    <w:pPr>
      <w:numPr>
        <w:numId w:val="9"/>
      </w:numPr>
      <w:spacing w:before="60" w:after="0"/>
    </w:pPr>
    <w:rPr>
      <w:rFonts w:ascii="Arial" w:hAnsi="Arial"/>
      <w:b/>
      <w:sz w:val="20"/>
      <w:lang w:val="en-GB" w:eastAsia="en-GB"/>
    </w:rPr>
  </w:style>
  <w:style w:type="paragraph" w:customStyle="1" w:styleId="1">
    <w:name w:val="正文1"/>
    <w:rsid w:val="002632E9"/>
    <w:pPr>
      <w:suppressAutoHyphens/>
      <w:autoSpaceDN w:val="0"/>
      <w:spacing w:after="200" w:line="276" w:lineRule="auto"/>
      <w:textAlignment w:val="baseline"/>
    </w:pPr>
    <w:rPr>
      <w:rFonts w:ascii="Calibri" w:eastAsia="SimSun" w:hAnsi="Calibri" w:cs="Calibri"/>
      <w:sz w:val="22"/>
      <w:szCs w:val="22"/>
      <w:lang w:val="en-US" w:eastAsia="en-US"/>
    </w:rPr>
  </w:style>
  <w:style w:type="paragraph" w:styleId="BodyText">
    <w:name w:val="Body Text"/>
    <w:basedOn w:val="Normal"/>
    <w:link w:val="BodyTextChar"/>
    <w:uiPriority w:val="99"/>
    <w:unhideWhenUsed/>
    <w:rsid w:val="002632E9"/>
    <w:pPr>
      <w:overflowPunct w:val="0"/>
      <w:autoSpaceDE w:val="0"/>
      <w:autoSpaceDN w:val="0"/>
      <w:adjustRightInd w:val="0"/>
      <w:textAlignment w:val="baseline"/>
    </w:pPr>
    <w:rPr>
      <w:rFonts w:eastAsia="SimSun"/>
      <w:szCs w:val="20"/>
      <w:lang w:val="en-GB" w:eastAsia="zh-CN"/>
    </w:rPr>
  </w:style>
  <w:style w:type="character" w:customStyle="1" w:styleId="BodyTextChar">
    <w:name w:val="Body Text Char"/>
    <w:link w:val="BodyText"/>
    <w:uiPriority w:val="99"/>
    <w:rsid w:val="002632E9"/>
    <w:rPr>
      <w:rFonts w:eastAsia="SimSun"/>
      <w:sz w:val="22"/>
      <w:lang w:val="en-GB" w:eastAsia="zh-CN"/>
    </w:rPr>
  </w:style>
  <w:style w:type="paragraph" w:customStyle="1" w:styleId="Normal5">
    <w:name w:val="Normal5"/>
    <w:rsid w:val="00E75568"/>
    <w:pPr>
      <w:jc w:val="both"/>
    </w:pPr>
    <w:rPr>
      <w:rFonts w:ascii="Calibri" w:eastAsia="SimSun" w:hAnsi="Calibri" w:cs="Calibri"/>
      <w:kern w:val="2"/>
      <w:sz w:val="21"/>
      <w:szCs w:val="21"/>
      <w:lang w:val="en-US"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列出段落,列"/>
    <w:basedOn w:val="Normal"/>
    <w:link w:val="ListParagraphChar"/>
    <w:uiPriority w:val="34"/>
    <w:qFormat/>
    <w:rsid w:val="008E73F1"/>
    <w:pPr>
      <w:spacing w:after="180"/>
      <w:ind w:left="720"/>
      <w:contextualSpacing/>
    </w:pPr>
    <w:rPr>
      <w:rFonts w:eastAsia="Times New Roman"/>
      <w:sz w:val="20"/>
      <w:lang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E73F1"/>
    <w:rPr>
      <w:rFonts w:eastAsia="Times New Roman"/>
      <w:szCs w:val="24"/>
    </w:rPr>
  </w:style>
  <w:style w:type="paragraph" w:styleId="TOC1">
    <w:name w:val="toc 1"/>
    <w:basedOn w:val="Normal"/>
    <w:next w:val="Normal"/>
    <w:autoRedefine/>
    <w:uiPriority w:val="39"/>
    <w:unhideWhenUsed/>
    <w:rsid w:val="00D12E73"/>
    <w:pPr>
      <w:spacing w:after="100"/>
    </w:pPr>
    <w:rPr>
      <w:rFonts w:eastAsia="Yu Mincho"/>
      <w:sz w:val="20"/>
      <w:szCs w:val="20"/>
      <w:lang w:val="en-GB" w:eastAsia="en-US"/>
    </w:rPr>
  </w:style>
  <w:style w:type="paragraph" w:styleId="TOC2">
    <w:name w:val="toc 2"/>
    <w:basedOn w:val="Normal"/>
    <w:next w:val="Normal"/>
    <w:autoRedefine/>
    <w:rsid w:val="00857278"/>
    <w:pPr>
      <w:ind w:left="220"/>
    </w:pPr>
  </w:style>
  <w:style w:type="paragraph" w:customStyle="1" w:styleId="Doc-text2">
    <w:name w:val="Doc-text2"/>
    <w:basedOn w:val="Normal"/>
    <w:link w:val="Doc-text2Char"/>
    <w:qFormat/>
    <w:rsid w:val="00427BCE"/>
    <w:pPr>
      <w:tabs>
        <w:tab w:val="left" w:pos="1622"/>
      </w:tabs>
      <w:spacing w:after="0"/>
      <w:ind w:left="1622" w:hanging="363"/>
    </w:pPr>
    <w:rPr>
      <w:rFonts w:ascii="Calibri" w:eastAsia="Calibri" w:hAnsi="Calibri" w:cs="Calibri"/>
      <w:szCs w:val="22"/>
      <w:lang w:eastAsia="en-US"/>
    </w:rPr>
  </w:style>
  <w:style w:type="character" w:customStyle="1" w:styleId="Doc-text2Char">
    <w:name w:val="Doc-text2 Char"/>
    <w:link w:val="Doc-text2"/>
    <w:qFormat/>
    <w:rsid w:val="00427BCE"/>
    <w:rPr>
      <w:rFonts w:ascii="Calibri" w:eastAsia="Calibri" w:hAnsi="Calibri" w:cs="Calibri"/>
      <w:sz w:val="22"/>
      <w:szCs w:val="22"/>
    </w:rPr>
  </w:style>
  <w:style w:type="paragraph" w:styleId="Revision">
    <w:name w:val="Revision"/>
    <w:hidden/>
    <w:uiPriority w:val="99"/>
    <w:semiHidden/>
    <w:rsid w:val="00D76845"/>
    <w:rPr>
      <w:sz w:val="22"/>
      <w:szCs w:val="24"/>
      <w:lang w:val="en-US" w:eastAsia="ja-JP"/>
    </w:rPr>
  </w:style>
  <w:style w:type="paragraph" w:styleId="Header">
    <w:name w:val="header"/>
    <w:link w:val="HeaderChar"/>
    <w:qFormat/>
    <w:rsid w:val="00AD6E5B"/>
    <w:pPr>
      <w:widowControl w:val="0"/>
    </w:pPr>
    <w:rPr>
      <w:rFonts w:ascii="Arial" w:eastAsia="Times New Roman" w:hAnsi="Arial"/>
      <w:b/>
      <w:sz w:val="18"/>
      <w:lang w:val="en-GB" w:eastAsia="en-US"/>
    </w:rPr>
  </w:style>
  <w:style w:type="character" w:customStyle="1" w:styleId="HeaderChar">
    <w:name w:val="Header Char"/>
    <w:link w:val="Header"/>
    <w:qFormat/>
    <w:rsid w:val="00AD6E5B"/>
    <w:rPr>
      <w:rFonts w:ascii="Arial" w:eastAsia="Times New Roman" w:hAnsi="Arial"/>
      <w:b/>
      <w:sz w:val="18"/>
      <w:lang w:val="en-GB" w:eastAsia="en-US"/>
    </w:rPr>
  </w:style>
  <w:style w:type="paragraph" w:styleId="NoSpacing">
    <w:name w:val="No Spacing"/>
    <w:basedOn w:val="Normal"/>
    <w:uiPriority w:val="99"/>
    <w:qFormat/>
    <w:rsid w:val="00AD6E5B"/>
    <w:pPr>
      <w:overflowPunct w:val="0"/>
      <w:autoSpaceDE w:val="0"/>
      <w:autoSpaceDN w:val="0"/>
      <w:adjustRightInd w:val="0"/>
      <w:spacing w:beforeAutospacing="1" w:after="0"/>
      <w:textAlignment w:val="baseline"/>
    </w:pPr>
    <w:rPr>
      <w:rFonts w:eastAsia="Calibri"/>
      <w:sz w:val="24"/>
      <w:lang w:val="en-GB" w:eastAsia="zh-CN"/>
    </w:rPr>
  </w:style>
  <w:style w:type="paragraph" w:styleId="NormalWeb">
    <w:name w:val="Normal (Web)"/>
    <w:basedOn w:val="Normal"/>
    <w:uiPriority w:val="99"/>
    <w:unhideWhenUsed/>
    <w:rsid w:val="00661DC3"/>
    <w:pPr>
      <w:spacing w:before="100" w:beforeAutospacing="1" w:after="100" w:afterAutospacing="1"/>
    </w:pPr>
    <w:rPr>
      <w:rFonts w:eastAsia="Times New Roman"/>
      <w:sz w:val="24"/>
      <w:lang w:val="en-IN" w:eastAsia="en-IN"/>
    </w:rPr>
  </w:style>
  <w:style w:type="character" w:styleId="Emphasis">
    <w:name w:val="Emphasis"/>
    <w:uiPriority w:val="20"/>
    <w:qFormat/>
    <w:rsid w:val="00494202"/>
    <w:rPr>
      <w:i/>
      <w:iCs/>
    </w:rPr>
  </w:style>
  <w:style w:type="character" w:styleId="Strong">
    <w:name w:val="Strong"/>
    <w:basedOn w:val="DefaultParagraphFont"/>
    <w:uiPriority w:val="22"/>
    <w:qFormat/>
    <w:rsid w:val="0004747F"/>
    <w:rPr>
      <w:b/>
      <w:bCs/>
    </w:rPr>
  </w:style>
  <w:style w:type="character" w:customStyle="1" w:styleId="truncate">
    <w:name w:val="truncate"/>
    <w:basedOn w:val="DefaultParagraphFont"/>
    <w:rsid w:val="0004747F"/>
  </w:style>
  <w:style w:type="character" w:styleId="HTMLCode">
    <w:name w:val="HTML Code"/>
    <w:basedOn w:val="DefaultParagraphFont"/>
    <w:uiPriority w:val="99"/>
    <w:unhideWhenUsed/>
    <w:rsid w:val="0004747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71895">
      <w:bodyDiv w:val="1"/>
      <w:marLeft w:val="0"/>
      <w:marRight w:val="0"/>
      <w:marTop w:val="0"/>
      <w:marBottom w:val="0"/>
      <w:divBdr>
        <w:top w:val="none" w:sz="0" w:space="0" w:color="auto"/>
        <w:left w:val="none" w:sz="0" w:space="0" w:color="auto"/>
        <w:bottom w:val="none" w:sz="0" w:space="0" w:color="auto"/>
        <w:right w:val="none" w:sz="0" w:space="0" w:color="auto"/>
      </w:divBdr>
    </w:div>
    <w:div w:id="85463160">
      <w:bodyDiv w:val="1"/>
      <w:marLeft w:val="0"/>
      <w:marRight w:val="0"/>
      <w:marTop w:val="0"/>
      <w:marBottom w:val="0"/>
      <w:divBdr>
        <w:top w:val="none" w:sz="0" w:space="0" w:color="auto"/>
        <w:left w:val="none" w:sz="0" w:space="0" w:color="auto"/>
        <w:bottom w:val="none" w:sz="0" w:space="0" w:color="auto"/>
        <w:right w:val="none" w:sz="0" w:space="0" w:color="auto"/>
      </w:divBdr>
    </w:div>
    <w:div w:id="105587472">
      <w:bodyDiv w:val="1"/>
      <w:marLeft w:val="0"/>
      <w:marRight w:val="0"/>
      <w:marTop w:val="0"/>
      <w:marBottom w:val="0"/>
      <w:divBdr>
        <w:top w:val="none" w:sz="0" w:space="0" w:color="auto"/>
        <w:left w:val="none" w:sz="0" w:space="0" w:color="auto"/>
        <w:bottom w:val="none" w:sz="0" w:space="0" w:color="auto"/>
        <w:right w:val="none" w:sz="0" w:space="0" w:color="auto"/>
      </w:divBdr>
      <w:divsChild>
        <w:div w:id="1616597645">
          <w:marLeft w:val="0"/>
          <w:marRight w:val="0"/>
          <w:marTop w:val="0"/>
          <w:marBottom w:val="0"/>
          <w:divBdr>
            <w:top w:val="none" w:sz="0" w:space="0" w:color="auto"/>
            <w:left w:val="none" w:sz="0" w:space="0" w:color="auto"/>
            <w:bottom w:val="none" w:sz="0" w:space="0" w:color="auto"/>
            <w:right w:val="none" w:sz="0" w:space="0" w:color="auto"/>
          </w:divBdr>
        </w:div>
      </w:divsChild>
    </w:div>
    <w:div w:id="355813509">
      <w:bodyDiv w:val="1"/>
      <w:marLeft w:val="0"/>
      <w:marRight w:val="0"/>
      <w:marTop w:val="0"/>
      <w:marBottom w:val="0"/>
      <w:divBdr>
        <w:top w:val="none" w:sz="0" w:space="0" w:color="auto"/>
        <w:left w:val="none" w:sz="0" w:space="0" w:color="auto"/>
        <w:bottom w:val="none" w:sz="0" w:space="0" w:color="auto"/>
        <w:right w:val="none" w:sz="0" w:space="0" w:color="auto"/>
      </w:divBdr>
    </w:div>
    <w:div w:id="496116365">
      <w:bodyDiv w:val="1"/>
      <w:marLeft w:val="0"/>
      <w:marRight w:val="0"/>
      <w:marTop w:val="0"/>
      <w:marBottom w:val="0"/>
      <w:divBdr>
        <w:top w:val="none" w:sz="0" w:space="0" w:color="auto"/>
        <w:left w:val="none" w:sz="0" w:space="0" w:color="auto"/>
        <w:bottom w:val="none" w:sz="0" w:space="0" w:color="auto"/>
        <w:right w:val="none" w:sz="0" w:space="0" w:color="auto"/>
      </w:divBdr>
    </w:div>
    <w:div w:id="593711161">
      <w:bodyDiv w:val="1"/>
      <w:marLeft w:val="0"/>
      <w:marRight w:val="0"/>
      <w:marTop w:val="0"/>
      <w:marBottom w:val="0"/>
      <w:divBdr>
        <w:top w:val="none" w:sz="0" w:space="0" w:color="auto"/>
        <w:left w:val="none" w:sz="0" w:space="0" w:color="auto"/>
        <w:bottom w:val="none" w:sz="0" w:space="0" w:color="auto"/>
        <w:right w:val="none" w:sz="0" w:space="0" w:color="auto"/>
      </w:divBdr>
      <w:divsChild>
        <w:div w:id="1669095941">
          <w:marLeft w:val="0"/>
          <w:marRight w:val="0"/>
          <w:marTop w:val="0"/>
          <w:marBottom w:val="0"/>
          <w:divBdr>
            <w:top w:val="none" w:sz="0" w:space="0" w:color="auto"/>
            <w:left w:val="none" w:sz="0" w:space="0" w:color="auto"/>
            <w:bottom w:val="none" w:sz="0" w:space="0" w:color="auto"/>
            <w:right w:val="none" w:sz="0" w:space="0" w:color="auto"/>
          </w:divBdr>
        </w:div>
      </w:divsChild>
    </w:div>
    <w:div w:id="783232845">
      <w:bodyDiv w:val="1"/>
      <w:marLeft w:val="0"/>
      <w:marRight w:val="0"/>
      <w:marTop w:val="0"/>
      <w:marBottom w:val="0"/>
      <w:divBdr>
        <w:top w:val="none" w:sz="0" w:space="0" w:color="auto"/>
        <w:left w:val="none" w:sz="0" w:space="0" w:color="auto"/>
        <w:bottom w:val="none" w:sz="0" w:space="0" w:color="auto"/>
        <w:right w:val="none" w:sz="0" w:space="0" w:color="auto"/>
      </w:divBdr>
      <w:divsChild>
        <w:div w:id="489252806">
          <w:marLeft w:val="0"/>
          <w:marRight w:val="0"/>
          <w:marTop w:val="0"/>
          <w:marBottom w:val="0"/>
          <w:divBdr>
            <w:top w:val="none" w:sz="0" w:space="0" w:color="auto"/>
            <w:left w:val="none" w:sz="0" w:space="0" w:color="auto"/>
            <w:bottom w:val="none" w:sz="0" w:space="0" w:color="auto"/>
            <w:right w:val="none" w:sz="0" w:space="0" w:color="auto"/>
          </w:divBdr>
        </w:div>
      </w:divsChild>
    </w:div>
    <w:div w:id="799686937">
      <w:bodyDiv w:val="1"/>
      <w:marLeft w:val="0"/>
      <w:marRight w:val="0"/>
      <w:marTop w:val="0"/>
      <w:marBottom w:val="0"/>
      <w:divBdr>
        <w:top w:val="none" w:sz="0" w:space="0" w:color="auto"/>
        <w:left w:val="none" w:sz="0" w:space="0" w:color="auto"/>
        <w:bottom w:val="none" w:sz="0" w:space="0" w:color="auto"/>
        <w:right w:val="none" w:sz="0" w:space="0" w:color="auto"/>
      </w:divBdr>
    </w:div>
    <w:div w:id="888304591">
      <w:bodyDiv w:val="1"/>
      <w:marLeft w:val="0"/>
      <w:marRight w:val="0"/>
      <w:marTop w:val="0"/>
      <w:marBottom w:val="0"/>
      <w:divBdr>
        <w:top w:val="none" w:sz="0" w:space="0" w:color="auto"/>
        <w:left w:val="none" w:sz="0" w:space="0" w:color="auto"/>
        <w:bottom w:val="none" w:sz="0" w:space="0" w:color="auto"/>
        <w:right w:val="none" w:sz="0" w:space="0" w:color="auto"/>
      </w:divBdr>
    </w:div>
    <w:div w:id="1108695391">
      <w:bodyDiv w:val="1"/>
      <w:marLeft w:val="0"/>
      <w:marRight w:val="0"/>
      <w:marTop w:val="0"/>
      <w:marBottom w:val="0"/>
      <w:divBdr>
        <w:top w:val="none" w:sz="0" w:space="0" w:color="auto"/>
        <w:left w:val="none" w:sz="0" w:space="0" w:color="auto"/>
        <w:bottom w:val="none" w:sz="0" w:space="0" w:color="auto"/>
        <w:right w:val="none" w:sz="0" w:space="0" w:color="auto"/>
      </w:divBdr>
    </w:div>
    <w:div w:id="1202207253">
      <w:bodyDiv w:val="1"/>
      <w:marLeft w:val="0"/>
      <w:marRight w:val="0"/>
      <w:marTop w:val="0"/>
      <w:marBottom w:val="0"/>
      <w:divBdr>
        <w:top w:val="none" w:sz="0" w:space="0" w:color="auto"/>
        <w:left w:val="none" w:sz="0" w:space="0" w:color="auto"/>
        <w:bottom w:val="none" w:sz="0" w:space="0" w:color="auto"/>
        <w:right w:val="none" w:sz="0" w:space="0" w:color="auto"/>
      </w:divBdr>
    </w:div>
    <w:div w:id="1209606218">
      <w:bodyDiv w:val="1"/>
      <w:marLeft w:val="0"/>
      <w:marRight w:val="0"/>
      <w:marTop w:val="0"/>
      <w:marBottom w:val="0"/>
      <w:divBdr>
        <w:top w:val="none" w:sz="0" w:space="0" w:color="auto"/>
        <w:left w:val="none" w:sz="0" w:space="0" w:color="auto"/>
        <w:bottom w:val="none" w:sz="0" w:space="0" w:color="auto"/>
        <w:right w:val="none" w:sz="0" w:space="0" w:color="auto"/>
      </w:divBdr>
      <w:divsChild>
        <w:div w:id="277373907">
          <w:marLeft w:val="0"/>
          <w:marRight w:val="0"/>
          <w:marTop w:val="0"/>
          <w:marBottom w:val="0"/>
          <w:divBdr>
            <w:top w:val="none" w:sz="0" w:space="0" w:color="auto"/>
            <w:left w:val="none" w:sz="0" w:space="0" w:color="auto"/>
            <w:bottom w:val="none" w:sz="0" w:space="0" w:color="auto"/>
            <w:right w:val="none" w:sz="0" w:space="0" w:color="auto"/>
          </w:divBdr>
        </w:div>
        <w:div w:id="1126240097">
          <w:marLeft w:val="0"/>
          <w:marRight w:val="0"/>
          <w:marTop w:val="0"/>
          <w:marBottom w:val="0"/>
          <w:divBdr>
            <w:top w:val="none" w:sz="0" w:space="0" w:color="auto"/>
            <w:left w:val="none" w:sz="0" w:space="0" w:color="auto"/>
            <w:bottom w:val="none" w:sz="0" w:space="0" w:color="auto"/>
            <w:right w:val="none" w:sz="0" w:space="0" w:color="auto"/>
          </w:divBdr>
        </w:div>
        <w:div w:id="1207524560">
          <w:marLeft w:val="0"/>
          <w:marRight w:val="0"/>
          <w:marTop w:val="0"/>
          <w:marBottom w:val="0"/>
          <w:divBdr>
            <w:top w:val="none" w:sz="0" w:space="0" w:color="auto"/>
            <w:left w:val="none" w:sz="0" w:space="0" w:color="auto"/>
            <w:bottom w:val="none" w:sz="0" w:space="0" w:color="auto"/>
            <w:right w:val="none" w:sz="0" w:space="0" w:color="auto"/>
          </w:divBdr>
        </w:div>
      </w:divsChild>
    </w:div>
    <w:div w:id="1470633633">
      <w:bodyDiv w:val="1"/>
      <w:marLeft w:val="0"/>
      <w:marRight w:val="0"/>
      <w:marTop w:val="0"/>
      <w:marBottom w:val="0"/>
      <w:divBdr>
        <w:top w:val="none" w:sz="0" w:space="0" w:color="auto"/>
        <w:left w:val="none" w:sz="0" w:space="0" w:color="auto"/>
        <w:bottom w:val="none" w:sz="0" w:space="0" w:color="auto"/>
        <w:right w:val="none" w:sz="0" w:space="0" w:color="auto"/>
      </w:divBdr>
      <w:divsChild>
        <w:div w:id="196940823">
          <w:marLeft w:val="0"/>
          <w:marRight w:val="0"/>
          <w:marTop w:val="0"/>
          <w:marBottom w:val="0"/>
          <w:divBdr>
            <w:top w:val="none" w:sz="0" w:space="0" w:color="auto"/>
            <w:left w:val="none" w:sz="0" w:space="0" w:color="auto"/>
            <w:bottom w:val="none" w:sz="0" w:space="0" w:color="auto"/>
            <w:right w:val="none" w:sz="0" w:space="0" w:color="auto"/>
          </w:divBdr>
        </w:div>
        <w:div w:id="1370689155">
          <w:marLeft w:val="0"/>
          <w:marRight w:val="0"/>
          <w:marTop w:val="0"/>
          <w:marBottom w:val="0"/>
          <w:divBdr>
            <w:top w:val="none" w:sz="0" w:space="0" w:color="auto"/>
            <w:left w:val="none" w:sz="0" w:space="0" w:color="auto"/>
            <w:bottom w:val="none" w:sz="0" w:space="0" w:color="auto"/>
            <w:right w:val="none" w:sz="0" w:space="0" w:color="auto"/>
          </w:divBdr>
        </w:div>
        <w:div w:id="1369834560">
          <w:marLeft w:val="0"/>
          <w:marRight w:val="0"/>
          <w:marTop w:val="0"/>
          <w:marBottom w:val="0"/>
          <w:divBdr>
            <w:top w:val="none" w:sz="0" w:space="0" w:color="auto"/>
            <w:left w:val="none" w:sz="0" w:space="0" w:color="auto"/>
            <w:bottom w:val="none" w:sz="0" w:space="0" w:color="auto"/>
            <w:right w:val="none" w:sz="0" w:space="0" w:color="auto"/>
          </w:divBdr>
        </w:div>
        <w:div w:id="512037878">
          <w:marLeft w:val="0"/>
          <w:marRight w:val="0"/>
          <w:marTop w:val="0"/>
          <w:marBottom w:val="0"/>
          <w:divBdr>
            <w:top w:val="none" w:sz="0" w:space="0" w:color="auto"/>
            <w:left w:val="none" w:sz="0" w:space="0" w:color="auto"/>
            <w:bottom w:val="none" w:sz="0" w:space="0" w:color="auto"/>
            <w:right w:val="none" w:sz="0" w:space="0" w:color="auto"/>
          </w:divBdr>
        </w:div>
        <w:div w:id="1601259050">
          <w:marLeft w:val="0"/>
          <w:marRight w:val="0"/>
          <w:marTop w:val="0"/>
          <w:marBottom w:val="0"/>
          <w:divBdr>
            <w:top w:val="none" w:sz="0" w:space="0" w:color="auto"/>
            <w:left w:val="none" w:sz="0" w:space="0" w:color="auto"/>
            <w:bottom w:val="none" w:sz="0" w:space="0" w:color="auto"/>
            <w:right w:val="none" w:sz="0" w:space="0" w:color="auto"/>
          </w:divBdr>
        </w:div>
        <w:div w:id="1616867418">
          <w:marLeft w:val="0"/>
          <w:marRight w:val="0"/>
          <w:marTop w:val="0"/>
          <w:marBottom w:val="0"/>
          <w:divBdr>
            <w:top w:val="none" w:sz="0" w:space="0" w:color="auto"/>
            <w:left w:val="none" w:sz="0" w:space="0" w:color="auto"/>
            <w:bottom w:val="none" w:sz="0" w:space="0" w:color="auto"/>
            <w:right w:val="none" w:sz="0" w:space="0" w:color="auto"/>
          </w:divBdr>
        </w:div>
        <w:div w:id="1563566249">
          <w:marLeft w:val="0"/>
          <w:marRight w:val="0"/>
          <w:marTop w:val="0"/>
          <w:marBottom w:val="0"/>
          <w:divBdr>
            <w:top w:val="none" w:sz="0" w:space="0" w:color="auto"/>
            <w:left w:val="none" w:sz="0" w:space="0" w:color="auto"/>
            <w:bottom w:val="none" w:sz="0" w:space="0" w:color="auto"/>
            <w:right w:val="none" w:sz="0" w:space="0" w:color="auto"/>
          </w:divBdr>
        </w:div>
        <w:div w:id="2060743831">
          <w:marLeft w:val="0"/>
          <w:marRight w:val="0"/>
          <w:marTop w:val="0"/>
          <w:marBottom w:val="0"/>
          <w:divBdr>
            <w:top w:val="none" w:sz="0" w:space="0" w:color="auto"/>
            <w:left w:val="none" w:sz="0" w:space="0" w:color="auto"/>
            <w:bottom w:val="none" w:sz="0" w:space="0" w:color="auto"/>
            <w:right w:val="none" w:sz="0" w:space="0" w:color="auto"/>
          </w:divBdr>
        </w:div>
        <w:div w:id="751243420">
          <w:marLeft w:val="0"/>
          <w:marRight w:val="0"/>
          <w:marTop w:val="0"/>
          <w:marBottom w:val="0"/>
          <w:divBdr>
            <w:top w:val="none" w:sz="0" w:space="0" w:color="auto"/>
            <w:left w:val="none" w:sz="0" w:space="0" w:color="auto"/>
            <w:bottom w:val="none" w:sz="0" w:space="0" w:color="auto"/>
            <w:right w:val="none" w:sz="0" w:space="0" w:color="auto"/>
          </w:divBdr>
        </w:div>
        <w:div w:id="882450277">
          <w:marLeft w:val="0"/>
          <w:marRight w:val="0"/>
          <w:marTop w:val="0"/>
          <w:marBottom w:val="0"/>
          <w:divBdr>
            <w:top w:val="none" w:sz="0" w:space="0" w:color="auto"/>
            <w:left w:val="none" w:sz="0" w:space="0" w:color="auto"/>
            <w:bottom w:val="none" w:sz="0" w:space="0" w:color="auto"/>
            <w:right w:val="none" w:sz="0" w:space="0" w:color="auto"/>
          </w:divBdr>
        </w:div>
        <w:div w:id="1559239316">
          <w:marLeft w:val="0"/>
          <w:marRight w:val="0"/>
          <w:marTop w:val="0"/>
          <w:marBottom w:val="0"/>
          <w:divBdr>
            <w:top w:val="none" w:sz="0" w:space="0" w:color="auto"/>
            <w:left w:val="none" w:sz="0" w:space="0" w:color="auto"/>
            <w:bottom w:val="none" w:sz="0" w:space="0" w:color="auto"/>
            <w:right w:val="none" w:sz="0" w:space="0" w:color="auto"/>
          </w:divBdr>
        </w:div>
        <w:div w:id="863589919">
          <w:marLeft w:val="0"/>
          <w:marRight w:val="0"/>
          <w:marTop w:val="0"/>
          <w:marBottom w:val="0"/>
          <w:divBdr>
            <w:top w:val="none" w:sz="0" w:space="0" w:color="auto"/>
            <w:left w:val="none" w:sz="0" w:space="0" w:color="auto"/>
            <w:bottom w:val="none" w:sz="0" w:space="0" w:color="auto"/>
            <w:right w:val="none" w:sz="0" w:space="0" w:color="auto"/>
          </w:divBdr>
        </w:div>
      </w:divsChild>
    </w:div>
    <w:div w:id="1882547081">
      <w:bodyDiv w:val="1"/>
      <w:marLeft w:val="0"/>
      <w:marRight w:val="0"/>
      <w:marTop w:val="0"/>
      <w:marBottom w:val="0"/>
      <w:divBdr>
        <w:top w:val="none" w:sz="0" w:space="0" w:color="auto"/>
        <w:left w:val="none" w:sz="0" w:space="0" w:color="auto"/>
        <w:bottom w:val="none" w:sz="0" w:space="0" w:color="auto"/>
        <w:right w:val="none" w:sz="0" w:space="0" w:color="auto"/>
      </w:divBdr>
    </w:div>
    <w:div w:id="1937515415">
      <w:bodyDiv w:val="1"/>
      <w:marLeft w:val="0"/>
      <w:marRight w:val="0"/>
      <w:marTop w:val="0"/>
      <w:marBottom w:val="0"/>
      <w:divBdr>
        <w:top w:val="none" w:sz="0" w:space="0" w:color="auto"/>
        <w:left w:val="none" w:sz="0" w:space="0" w:color="auto"/>
        <w:bottom w:val="none" w:sz="0" w:space="0" w:color="auto"/>
        <w:right w:val="none" w:sz="0" w:space="0" w:color="auto"/>
      </w:divBdr>
    </w:div>
    <w:div w:id="2025129342">
      <w:bodyDiv w:val="1"/>
      <w:marLeft w:val="0"/>
      <w:marRight w:val="0"/>
      <w:marTop w:val="0"/>
      <w:marBottom w:val="0"/>
      <w:divBdr>
        <w:top w:val="none" w:sz="0" w:space="0" w:color="auto"/>
        <w:left w:val="none" w:sz="0" w:space="0" w:color="auto"/>
        <w:bottom w:val="none" w:sz="0" w:space="0" w:color="auto"/>
        <w:right w:val="none" w:sz="0" w:space="0" w:color="auto"/>
      </w:divBdr>
      <w:divsChild>
        <w:div w:id="281689530">
          <w:marLeft w:val="0"/>
          <w:marRight w:val="0"/>
          <w:marTop w:val="0"/>
          <w:marBottom w:val="0"/>
          <w:divBdr>
            <w:top w:val="none" w:sz="0" w:space="0" w:color="auto"/>
            <w:left w:val="none" w:sz="0" w:space="0" w:color="auto"/>
            <w:bottom w:val="none" w:sz="0" w:space="0" w:color="auto"/>
            <w:right w:val="none" w:sz="0" w:space="0" w:color="auto"/>
          </w:divBdr>
        </w:div>
        <w:div w:id="843592321">
          <w:marLeft w:val="0"/>
          <w:marRight w:val="0"/>
          <w:marTop w:val="0"/>
          <w:marBottom w:val="0"/>
          <w:divBdr>
            <w:top w:val="none" w:sz="0" w:space="0" w:color="auto"/>
            <w:left w:val="none" w:sz="0" w:space="0" w:color="auto"/>
            <w:bottom w:val="none" w:sz="0" w:space="0" w:color="auto"/>
            <w:right w:val="none" w:sz="0" w:space="0" w:color="auto"/>
          </w:divBdr>
        </w:div>
        <w:div w:id="70585992">
          <w:marLeft w:val="0"/>
          <w:marRight w:val="0"/>
          <w:marTop w:val="0"/>
          <w:marBottom w:val="0"/>
          <w:divBdr>
            <w:top w:val="none" w:sz="0" w:space="0" w:color="auto"/>
            <w:left w:val="none" w:sz="0" w:space="0" w:color="auto"/>
            <w:bottom w:val="none" w:sz="0" w:space="0" w:color="auto"/>
            <w:right w:val="none" w:sz="0" w:space="0" w:color="auto"/>
          </w:divBdr>
        </w:div>
      </w:divsChild>
    </w:div>
    <w:div w:id="2095393898">
      <w:bodyDiv w:val="1"/>
      <w:marLeft w:val="0"/>
      <w:marRight w:val="0"/>
      <w:marTop w:val="0"/>
      <w:marBottom w:val="0"/>
      <w:divBdr>
        <w:top w:val="none" w:sz="0" w:space="0" w:color="auto"/>
        <w:left w:val="none" w:sz="0" w:space="0" w:color="auto"/>
        <w:bottom w:val="none" w:sz="0" w:space="0" w:color="auto"/>
        <w:right w:val="none" w:sz="0" w:space="0" w:color="auto"/>
      </w:divBdr>
    </w:div>
    <w:div w:id="2142844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sv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sv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hyperlink" Target="file:///C:\Users\shimsseo\RAN3\RAN3_127_0217-21_Athens\Inbox\R3-250781.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89a382aa3485fde6599c95ba2e545b5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2a84cf6c7febc7d733510015f1ab9abd"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2.xml><?xml version="1.0" encoding="utf-8"?>
<ds:datastoreItem xmlns:ds="http://schemas.openxmlformats.org/officeDocument/2006/customXml" ds:itemID="{0B3E57FD-05EB-46B0-A762-8954827DD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D11D65-4F03-47AB-83F4-3FC02FB5BBE7}">
  <ds:schemaRefs>
    <ds:schemaRef ds:uri="a898737b-76c3-420b-8af3-9a233b1ccf50"/>
    <ds:schemaRef ds:uri="http://schemas.microsoft.com/office/2006/documentManagement/types"/>
    <ds:schemaRef ds:uri="http://purl.org/dc/dcmitype/"/>
    <ds:schemaRef ds:uri="http://schemas.microsoft.com/office/infopath/2007/PartnerControls"/>
    <ds:schemaRef ds:uri="edd64c1e-7efe-4eaf-ae6c-9e13ce297a2a"/>
    <ds:schemaRef ds:uri="http://schemas.openxmlformats.org/package/2006/metadata/core-properties"/>
    <ds:schemaRef ds:uri="http://purl.org/dc/elements/1.1/"/>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7B374531-D5B6-461E-80C6-B1DF38950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Pages>
  <Words>6029</Words>
  <Characters>31130</Characters>
  <Application>Microsoft Office Word</Application>
  <DocSecurity>0</DocSecurity>
  <Lines>259</Lines>
  <Paragraphs>74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37085</CharactersWithSpaces>
  <SharedDoc>false</SharedDoc>
  <HLinks>
    <vt:vector size="18" baseType="variant">
      <vt:variant>
        <vt:i4>1966178</vt:i4>
      </vt:variant>
      <vt:variant>
        <vt:i4>6</vt:i4>
      </vt:variant>
      <vt:variant>
        <vt:i4>0</vt:i4>
      </vt:variant>
      <vt:variant>
        <vt:i4>5</vt:i4>
      </vt:variant>
      <vt:variant>
        <vt:lpwstr>Inbox\R3-250859.zip</vt:lpwstr>
      </vt:variant>
      <vt:variant>
        <vt:lpwstr/>
      </vt:variant>
      <vt:variant>
        <vt:i4>1966189</vt:i4>
      </vt:variant>
      <vt:variant>
        <vt:i4>3</vt:i4>
      </vt:variant>
      <vt:variant>
        <vt:i4>0</vt:i4>
      </vt:variant>
      <vt:variant>
        <vt:i4>5</vt:i4>
      </vt:variant>
      <vt:variant>
        <vt:lpwstr>Inbox\R3-250856.zip</vt:lpwstr>
      </vt:variant>
      <vt:variant>
        <vt:lpwstr/>
      </vt:variant>
      <vt:variant>
        <vt:i4>6946906</vt:i4>
      </vt:variant>
      <vt:variant>
        <vt:i4>0</vt:i4>
      </vt:variant>
      <vt:variant>
        <vt:i4>0</vt:i4>
      </vt:variant>
      <vt:variant>
        <vt:i4>5</vt:i4>
      </vt:variant>
      <vt:variant>
        <vt:lpwstr>C:\Users\shimsseo\RAN3\RAN3_127_0217-21_Athens\Inbox\R3-250781.zip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Anupkumar Pandey</cp:lastModifiedBy>
  <cp:revision>5</cp:revision>
  <cp:lastPrinted>1899-12-31T18:30:00Z</cp:lastPrinted>
  <dcterms:created xsi:type="dcterms:W3CDTF">2025-03-27T09:53:00Z</dcterms:created>
  <dcterms:modified xsi:type="dcterms:W3CDTF">2025-03-27T23:59:00Z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ies>
</file>